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E64A" w14:textId="7FD4F91A" w:rsidR="00B116E5" w:rsidRDefault="00B116E5" w:rsidP="00DA1865"/>
    <w:p w14:paraId="286569DC" w14:textId="77777777" w:rsidR="00DA1865" w:rsidRDefault="00DA1865" w:rsidP="00DA1865"/>
    <w:p w14:paraId="3F705D3D" w14:textId="77777777" w:rsidR="00B116E5" w:rsidRDefault="00B116E5" w:rsidP="00DA1865"/>
    <w:p w14:paraId="47A42A06" w14:textId="16406506" w:rsidR="005049D9" w:rsidRDefault="00F05223" w:rsidP="00F05223">
      <w:pPr>
        <w:pStyle w:val="Title"/>
      </w:pPr>
      <w:r w:rsidRPr="00F05223">
        <w:t>Job description</w:t>
      </w:r>
    </w:p>
    <w:p w14:paraId="7FED0A7C" w14:textId="77777777" w:rsidR="005049D9" w:rsidRDefault="005049D9">
      <w:pPr>
        <w:rPr>
          <w:szCs w:val="32"/>
        </w:rPr>
      </w:pPr>
    </w:p>
    <w:p w14:paraId="43B833E1" w14:textId="77777777" w:rsidR="00F05223" w:rsidRPr="00F05223" w:rsidRDefault="00F05223" w:rsidP="00F05223">
      <w:pPr>
        <w:rPr>
          <w:szCs w:val="32"/>
        </w:rPr>
      </w:pPr>
      <w:r w:rsidRPr="00F05223">
        <w:rPr>
          <w:b/>
          <w:bCs/>
          <w:szCs w:val="32"/>
        </w:rPr>
        <w:t>Job title:</w:t>
      </w:r>
      <w:r w:rsidRPr="00F05223">
        <w:rPr>
          <w:szCs w:val="32"/>
        </w:rPr>
        <w:tab/>
      </w:r>
      <w:r>
        <w:rPr>
          <w:szCs w:val="32"/>
        </w:rPr>
        <w:tab/>
      </w:r>
      <w:r w:rsidRPr="00F05223">
        <w:rPr>
          <w:szCs w:val="32"/>
        </w:rPr>
        <w:t>Regulation Manager</w:t>
      </w:r>
    </w:p>
    <w:p w14:paraId="0CAB09E5" w14:textId="77777777" w:rsidR="00F05223" w:rsidRPr="00F05223" w:rsidRDefault="00F05223" w:rsidP="00F05223">
      <w:pPr>
        <w:rPr>
          <w:szCs w:val="32"/>
        </w:rPr>
      </w:pPr>
    </w:p>
    <w:p w14:paraId="18A750CA" w14:textId="41B784C1" w:rsidR="00F05223" w:rsidRPr="00F05223" w:rsidRDefault="00F05223" w:rsidP="00F05223">
      <w:pPr>
        <w:rPr>
          <w:szCs w:val="32"/>
        </w:rPr>
      </w:pPr>
      <w:r w:rsidRPr="00F05223">
        <w:rPr>
          <w:b/>
          <w:bCs/>
          <w:szCs w:val="32"/>
        </w:rPr>
        <w:t>Salary:</w:t>
      </w:r>
      <w:r w:rsidRPr="00F05223">
        <w:rPr>
          <w:szCs w:val="32"/>
        </w:rPr>
        <w:tab/>
      </w:r>
      <w:r>
        <w:rPr>
          <w:szCs w:val="32"/>
        </w:rPr>
        <w:tab/>
      </w:r>
      <w:r w:rsidR="005B4EBD">
        <w:rPr>
          <w:szCs w:val="32"/>
        </w:rPr>
        <w:t xml:space="preserve">Band </w:t>
      </w:r>
      <w:r w:rsidR="002578D5">
        <w:rPr>
          <w:szCs w:val="32"/>
        </w:rPr>
        <w:t>3</w:t>
      </w:r>
    </w:p>
    <w:p w14:paraId="65D30A81" w14:textId="77777777" w:rsidR="00F05223" w:rsidRPr="00F05223" w:rsidRDefault="00F05223" w:rsidP="00F05223">
      <w:pPr>
        <w:rPr>
          <w:szCs w:val="32"/>
        </w:rPr>
      </w:pPr>
    </w:p>
    <w:p w14:paraId="6C46EEBF" w14:textId="77777777" w:rsidR="00F05223" w:rsidRPr="00F05223" w:rsidRDefault="00F05223" w:rsidP="00F05223">
      <w:pPr>
        <w:rPr>
          <w:szCs w:val="32"/>
        </w:rPr>
      </w:pPr>
      <w:r w:rsidRPr="00F05223">
        <w:rPr>
          <w:b/>
          <w:bCs/>
          <w:szCs w:val="32"/>
        </w:rPr>
        <w:t>Accountable to:</w:t>
      </w:r>
      <w:r w:rsidRPr="00F05223">
        <w:rPr>
          <w:szCs w:val="32"/>
        </w:rPr>
        <w:tab/>
        <w:t>Head of Regulation</w:t>
      </w:r>
    </w:p>
    <w:p w14:paraId="78420733" w14:textId="77777777" w:rsidR="00F05223" w:rsidRPr="00F05223" w:rsidRDefault="00F05223" w:rsidP="00F05223">
      <w:pPr>
        <w:rPr>
          <w:szCs w:val="32"/>
        </w:rPr>
      </w:pPr>
    </w:p>
    <w:p w14:paraId="181B2C70" w14:textId="77777777" w:rsidR="00F05223" w:rsidRPr="00F05223" w:rsidRDefault="00F05223" w:rsidP="00F05223">
      <w:pPr>
        <w:rPr>
          <w:szCs w:val="32"/>
        </w:rPr>
      </w:pPr>
      <w:r w:rsidRPr="00F05223">
        <w:rPr>
          <w:b/>
          <w:bCs/>
          <w:szCs w:val="32"/>
        </w:rPr>
        <w:t>Contract:</w:t>
      </w:r>
      <w:r w:rsidRPr="00F05223">
        <w:rPr>
          <w:szCs w:val="32"/>
        </w:rPr>
        <w:tab/>
      </w:r>
      <w:r>
        <w:rPr>
          <w:szCs w:val="32"/>
        </w:rPr>
        <w:tab/>
      </w:r>
      <w:r w:rsidRPr="00F05223">
        <w:rPr>
          <w:szCs w:val="32"/>
        </w:rPr>
        <w:t>Permanent</w:t>
      </w:r>
    </w:p>
    <w:p w14:paraId="6584705E" w14:textId="77777777" w:rsidR="00F05223" w:rsidRPr="00F05223" w:rsidRDefault="00F05223" w:rsidP="00F05223">
      <w:pPr>
        <w:rPr>
          <w:szCs w:val="32"/>
        </w:rPr>
      </w:pPr>
    </w:p>
    <w:p w14:paraId="24D7C262" w14:textId="7DCE97E8" w:rsidR="00F05223" w:rsidRDefault="00F05223" w:rsidP="00852C18">
      <w:pPr>
        <w:ind w:left="2160" w:hanging="2160"/>
        <w:rPr>
          <w:szCs w:val="32"/>
        </w:rPr>
      </w:pPr>
      <w:r w:rsidRPr="00F05223">
        <w:rPr>
          <w:b/>
          <w:bCs/>
          <w:szCs w:val="32"/>
        </w:rPr>
        <w:t>Location:</w:t>
      </w:r>
      <w:r w:rsidRPr="00F05223">
        <w:rPr>
          <w:szCs w:val="32"/>
        </w:rPr>
        <w:tab/>
      </w:r>
      <w:r w:rsidR="008E15B4">
        <w:rPr>
          <w:szCs w:val="32"/>
        </w:rPr>
        <w:t>Home-based</w:t>
      </w:r>
      <w:r w:rsidR="008B61B7">
        <w:rPr>
          <w:szCs w:val="32"/>
        </w:rPr>
        <w:t>,</w:t>
      </w:r>
      <w:r w:rsidR="008E15B4">
        <w:rPr>
          <w:szCs w:val="32"/>
        </w:rPr>
        <w:t xml:space="preserve"> or </w:t>
      </w:r>
      <w:r w:rsidRPr="00F05223">
        <w:rPr>
          <w:szCs w:val="32"/>
        </w:rPr>
        <w:t xml:space="preserve">2 Redman Place, </w:t>
      </w:r>
      <w:r w:rsidR="00D47D01">
        <w:rPr>
          <w:szCs w:val="32"/>
        </w:rPr>
        <w:t>London</w:t>
      </w:r>
      <w:r w:rsidRPr="00F05223">
        <w:rPr>
          <w:szCs w:val="32"/>
        </w:rPr>
        <w:t xml:space="preserve">, </w:t>
      </w:r>
      <w:proofErr w:type="spellStart"/>
      <w:r w:rsidRPr="00F05223">
        <w:rPr>
          <w:szCs w:val="32"/>
        </w:rPr>
        <w:t>E20</w:t>
      </w:r>
      <w:proofErr w:type="spellEnd"/>
      <w:r w:rsidRPr="00F05223">
        <w:rPr>
          <w:szCs w:val="32"/>
        </w:rPr>
        <w:t xml:space="preserve"> </w:t>
      </w:r>
      <w:proofErr w:type="spellStart"/>
      <w:r w:rsidRPr="00F05223">
        <w:rPr>
          <w:szCs w:val="32"/>
        </w:rPr>
        <w:t>1JQ</w:t>
      </w:r>
      <w:proofErr w:type="spellEnd"/>
      <w:r w:rsidR="00D70D6E">
        <w:rPr>
          <w:szCs w:val="32"/>
        </w:rPr>
        <w:t xml:space="preserve"> with significant options </w:t>
      </w:r>
      <w:r w:rsidR="00852C18">
        <w:rPr>
          <w:szCs w:val="32"/>
        </w:rPr>
        <w:t>for working flexibly</w:t>
      </w:r>
    </w:p>
    <w:p w14:paraId="73C6F6BA" w14:textId="77777777" w:rsidR="00B87E67" w:rsidRPr="00B87E67" w:rsidRDefault="00B87E67" w:rsidP="00B87E67">
      <w:pPr>
        <w:rPr>
          <w:szCs w:val="32"/>
        </w:rPr>
      </w:pPr>
    </w:p>
    <w:p w14:paraId="543319AC" w14:textId="77777777" w:rsidR="00B87E67" w:rsidRPr="00B87E67" w:rsidRDefault="00B87E67" w:rsidP="00B87E67">
      <w:pPr>
        <w:pStyle w:val="Heading1"/>
      </w:pPr>
      <w:r w:rsidRPr="00B87E67">
        <w:t>Introduction</w:t>
      </w:r>
    </w:p>
    <w:p w14:paraId="476CCDFA" w14:textId="77777777" w:rsidR="00B87E67" w:rsidRPr="00B87E67" w:rsidRDefault="00B87E67" w:rsidP="00B87E67">
      <w:pPr>
        <w:rPr>
          <w:szCs w:val="32"/>
        </w:rPr>
      </w:pPr>
    </w:p>
    <w:p w14:paraId="1EA85338" w14:textId="2DB28DA9" w:rsidR="00B87E67" w:rsidRDefault="00B87E67" w:rsidP="00B87E67">
      <w:pPr>
        <w:rPr>
          <w:szCs w:val="32"/>
        </w:rPr>
      </w:pPr>
      <w:r w:rsidRPr="00B87E67">
        <w:rPr>
          <w:szCs w:val="32"/>
        </w:rPr>
        <w:t xml:space="preserve">The </w:t>
      </w:r>
      <w:r>
        <w:rPr>
          <w:szCs w:val="32"/>
        </w:rPr>
        <w:t>Human Tissue Authority’s (</w:t>
      </w:r>
      <w:r w:rsidRPr="00B87E67">
        <w:rPr>
          <w:szCs w:val="32"/>
        </w:rPr>
        <w:t>HTA’s</w:t>
      </w:r>
      <w:r>
        <w:rPr>
          <w:szCs w:val="32"/>
        </w:rPr>
        <w:t>)</w:t>
      </w:r>
      <w:r w:rsidRPr="00B87E67">
        <w:rPr>
          <w:szCs w:val="32"/>
        </w:rPr>
        <w:t xml:space="preserve"> primary goal is to protect public and professional confidence in the safe and ethical use of human tissue.</w:t>
      </w:r>
    </w:p>
    <w:p w14:paraId="500CE9E3" w14:textId="77777777" w:rsidR="00B87E67" w:rsidRDefault="00B87E67" w:rsidP="00B87E67">
      <w:pPr>
        <w:rPr>
          <w:szCs w:val="32"/>
        </w:rPr>
      </w:pPr>
    </w:p>
    <w:p w14:paraId="3426B847" w14:textId="3D210DEC" w:rsidR="00B87E67" w:rsidRPr="00B87E67" w:rsidRDefault="00B87E67" w:rsidP="00B87E67">
      <w:pPr>
        <w:rPr>
          <w:szCs w:val="32"/>
        </w:rPr>
      </w:pPr>
      <w:r w:rsidRPr="00B87E67">
        <w:rPr>
          <w:szCs w:val="32"/>
        </w:rPr>
        <w:t>The HTA is the national independent regulator for organisations that remove, store and use tissue for research, medical treatment, post-mortem examination, teaching and display in public. We also give approval for organ and bone marrow donations from living people. With the interests of the public and those we regulate at the centre of our work, we aim to maintain confidence by ensuring that human tissue is used safely and ethically, with proper consent.</w:t>
      </w:r>
    </w:p>
    <w:p w14:paraId="4C784812" w14:textId="77777777" w:rsidR="00B87E67" w:rsidRPr="00B87E67" w:rsidRDefault="00B87E67" w:rsidP="00B87E67">
      <w:pPr>
        <w:rPr>
          <w:szCs w:val="32"/>
        </w:rPr>
      </w:pPr>
    </w:p>
    <w:p w14:paraId="5D050B44" w14:textId="3756C3EB" w:rsidR="009870DB" w:rsidRDefault="00B87E67" w:rsidP="009733BF">
      <w:pPr>
        <w:rPr>
          <w:szCs w:val="32"/>
        </w:rPr>
      </w:pPr>
      <w:r w:rsidRPr="00B87E67">
        <w:rPr>
          <w:szCs w:val="32"/>
        </w:rPr>
        <w:t>Established under the Human Tissue Act 2004, we are an Executive Non- Departmental Public Body sponsored by the Department of Health</w:t>
      </w:r>
      <w:r>
        <w:rPr>
          <w:szCs w:val="32"/>
        </w:rPr>
        <w:t xml:space="preserve"> and Social Care</w:t>
      </w:r>
      <w:r w:rsidRPr="00B87E67">
        <w:rPr>
          <w:szCs w:val="32"/>
        </w:rPr>
        <w:t xml:space="preserve">. The Authority’s Chair and </w:t>
      </w:r>
      <w:r w:rsidR="009B471B">
        <w:rPr>
          <w:szCs w:val="32"/>
        </w:rPr>
        <w:t xml:space="preserve">Board </w:t>
      </w:r>
      <w:r w:rsidRPr="00B87E67">
        <w:rPr>
          <w:szCs w:val="32"/>
        </w:rPr>
        <w:t xml:space="preserve">are appointed by the Secretary of State for Health. The Chair and half of the </w:t>
      </w:r>
      <w:r w:rsidR="003A251F">
        <w:rPr>
          <w:szCs w:val="32"/>
        </w:rPr>
        <w:t xml:space="preserve">Board </w:t>
      </w:r>
      <w:r w:rsidRPr="00B87E67">
        <w:rPr>
          <w:szCs w:val="32"/>
        </w:rPr>
        <w:t xml:space="preserve">are lay, with the remainder being professionals drawn from some of the groups who are affected by the legislation. The Authority is supported by an Executive team of </w:t>
      </w:r>
      <w:r w:rsidR="002F1BDA">
        <w:rPr>
          <w:szCs w:val="32"/>
        </w:rPr>
        <w:t>nearly 60</w:t>
      </w:r>
      <w:r w:rsidRPr="00B87E67">
        <w:rPr>
          <w:szCs w:val="32"/>
        </w:rPr>
        <w:t xml:space="preserve"> staff. </w:t>
      </w:r>
    </w:p>
    <w:p w14:paraId="55EB6157" w14:textId="77777777" w:rsidR="009870DB" w:rsidRDefault="009870DB" w:rsidP="009733BF">
      <w:pPr>
        <w:rPr>
          <w:szCs w:val="32"/>
        </w:rPr>
      </w:pPr>
    </w:p>
    <w:p w14:paraId="3FBE2255" w14:textId="77777777" w:rsidR="00E32A11" w:rsidRDefault="00E32A11" w:rsidP="009733BF">
      <w:pPr>
        <w:rPr>
          <w:b/>
          <w:sz w:val="28"/>
          <w:szCs w:val="28"/>
        </w:rPr>
      </w:pPr>
    </w:p>
    <w:p w14:paraId="5C9A1FA8" w14:textId="04A81870" w:rsidR="00B87E67" w:rsidRPr="009870DB" w:rsidRDefault="00B87E67" w:rsidP="009733BF">
      <w:pPr>
        <w:rPr>
          <w:szCs w:val="32"/>
        </w:rPr>
      </w:pPr>
      <w:r w:rsidRPr="00D47D01">
        <w:rPr>
          <w:b/>
          <w:sz w:val="28"/>
          <w:szCs w:val="28"/>
        </w:rPr>
        <w:t xml:space="preserve">HTA </w:t>
      </w:r>
      <w:r w:rsidR="00A5784F">
        <w:rPr>
          <w:b/>
          <w:sz w:val="28"/>
          <w:szCs w:val="28"/>
        </w:rPr>
        <w:t>CORE</w:t>
      </w:r>
      <w:r w:rsidRPr="00D47D01">
        <w:rPr>
          <w:b/>
          <w:sz w:val="28"/>
          <w:szCs w:val="28"/>
        </w:rPr>
        <w:t xml:space="preserve"> values</w:t>
      </w:r>
    </w:p>
    <w:p w14:paraId="1FBD4F01" w14:textId="77777777" w:rsidR="00B87E67" w:rsidRPr="00B87E67" w:rsidRDefault="00B87E67" w:rsidP="00B87E67">
      <w:pPr>
        <w:rPr>
          <w:szCs w:val="32"/>
        </w:rPr>
      </w:pPr>
    </w:p>
    <w:p w14:paraId="01A04E07" w14:textId="6B9AB5EE" w:rsidR="00F03AFD" w:rsidRDefault="00B87E67" w:rsidP="00F03AFD">
      <w:pPr>
        <w:rPr>
          <w:szCs w:val="32"/>
        </w:rPr>
      </w:pPr>
      <w:r w:rsidRPr="00B87E67">
        <w:rPr>
          <w:szCs w:val="32"/>
        </w:rPr>
        <w:t xml:space="preserve">The HTA’s </w:t>
      </w:r>
      <w:r w:rsidR="00761586">
        <w:rPr>
          <w:szCs w:val="32"/>
        </w:rPr>
        <w:t xml:space="preserve">CORE </w:t>
      </w:r>
      <w:r w:rsidRPr="00B87E67">
        <w:rPr>
          <w:szCs w:val="32"/>
        </w:rPr>
        <w:t xml:space="preserve">values are our shared beliefs about behaviours that are key to how we deliver against our objectives. </w:t>
      </w:r>
      <w:r w:rsidR="00F03AFD">
        <w:rPr>
          <w:szCs w:val="32"/>
        </w:rPr>
        <w:t xml:space="preserve">Our values </w:t>
      </w:r>
      <w:r w:rsidR="00F03AFD" w:rsidRPr="00DF01F1">
        <w:rPr>
          <w:szCs w:val="32"/>
        </w:rPr>
        <w:t>help us achieve our vision and strategy</w:t>
      </w:r>
      <w:r w:rsidR="00F03AFD">
        <w:rPr>
          <w:szCs w:val="32"/>
        </w:rPr>
        <w:t xml:space="preserve">, </w:t>
      </w:r>
      <w:r w:rsidR="00F03AFD" w:rsidRPr="00DF01F1">
        <w:rPr>
          <w:szCs w:val="32"/>
        </w:rPr>
        <w:t>shape the way we deliver our regulatory functions an</w:t>
      </w:r>
      <w:r w:rsidR="00F03AFD">
        <w:rPr>
          <w:szCs w:val="32"/>
        </w:rPr>
        <w:t xml:space="preserve">d </w:t>
      </w:r>
      <w:r w:rsidR="00F03AFD" w:rsidRPr="00DF01F1">
        <w:rPr>
          <w:szCs w:val="32"/>
        </w:rPr>
        <w:t>are integral to the way we interact with each other, professional stakeholders and the public.</w:t>
      </w:r>
    </w:p>
    <w:p w14:paraId="41FAEBE3" w14:textId="77777777" w:rsidR="00FA795B" w:rsidRDefault="00FA795B" w:rsidP="00B87E67">
      <w:pPr>
        <w:rPr>
          <w:szCs w:val="32"/>
        </w:rPr>
      </w:pPr>
    </w:p>
    <w:p w14:paraId="5152B97E" w14:textId="77777777" w:rsidR="00FA795B" w:rsidRDefault="00FA795B" w:rsidP="00B87E67">
      <w:pPr>
        <w:rPr>
          <w:szCs w:val="32"/>
        </w:rPr>
      </w:pPr>
    </w:p>
    <w:p w14:paraId="1F12476B" w14:textId="77777777" w:rsidR="00FA795B" w:rsidRDefault="00FA795B" w:rsidP="00B87E67">
      <w:pPr>
        <w:rPr>
          <w:szCs w:val="32"/>
        </w:rPr>
      </w:pPr>
    </w:p>
    <w:p w14:paraId="3C8CA8CA" w14:textId="0940F5A3" w:rsidR="00B87E67" w:rsidRPr="00B87E67" w:rsidRDefault="00B87E67" w:rsidP="00B87E67">
      <w:pPr>
        <w:rPr>
          <w:szCs w:val="32"/>
        </w:rPr>
      </w:pPr>
      <w:r w:rsidRPr="00B87E67">
        <w:rPr>
          <w:szCs w:val="32"/>
        </w:rPr>
        <w:lastRenderedPageBreak/>
        <w:t>Our values</w:t>
      </w:r>
      <w:r w:rsidR="0085441E">
        <w:rPr>
          <w:szCs w:val="32"/>
        </w:rPr>
        <w:t xml:space="preserve"> are</w:t>
      </w:r>
      <w:r w:rsidRPr="00B87E67">
        <w:rPr>
          <w:szCs w:val="32"/>
        </w:rPr>
        <w:t>:</w:t>
      </w:r>
    </w:p>
    <w:p w14:paraId="768996F7" w14:textId="77777777" w:rsidR="00B87E67" w:rsidRPr="00B87E67" w:rsidRDefault="00B87E67" w:rsidP="00B87E67">
      <w:pPr>
        <w:rPr>
          <w:szCs w:val="32"/>
        </w:rPr>
      </w:pPr>
    </w:p>
    <w:p w14:paraId="2ACB4318" w14:textId="77777777" w:rsidR="00CF094E" w:rsidRDefault="00CF094E" w:rsidP="00CF094E">
      <w:pPr>
        <w:rPr>
          <w:szCs w:val="32"/>
        </w:rPr>
      </w:pPr>
      <w:r w:rsidRPr="00CF094E">
        <w:rPr>
          <w:szCs w:val="32"/>
        </w:rPr>
        <w:t>Collaboration – We work together to achieve a common goal whilst seeking and valuing diverse perspectives. We share ideas and best practices, striving for excellence collectively. Through active listening and teamwork, we promote a culture of collaboration and cooperation.</w:t>
      </w:r>
    </w:p>
    <w:p w14:paraId="6F83AC86" w14:textId="77777777" w:rsidR="00354CB0" w:rsidRPr="00CF094E" w:rsidRDefault="00354CB0" w:rsidP="00CF094E">
      <w:pPr>
        <w:rPr>
          <w:szCs w:val="32"/>
        </w:rPr>
      </w:pPr>
    </w:p>
    <w:p w14:paraId="52D9B82C" w14:textId="5DD73F5D" w:rsidR="00CF094E" w:rsidRPr="00CF094E" w:rsidRDefault="00CF094E" w:rsidP="00CF094E">
      <w:pPr>
        <w:rPr>
          <w:szCs w:val="32"/>
        </w:rPr>
      </w:pPr>
      <w:r w:rsidRPr="00CF094E">
        <w:rPr>
          <w:szCs w:val="32"/>
        </w:rPr>
        <w:t>Openness</w:t>
      </w:r>
      <w:r w:rsidR="00734C18">
        <w:rPr>
          <w:szCs w:val="32"/>
        </w:rPr>
        <w:t xml:space="preserve"> </w:t>
      </w:r>
      <w:r w:rsidRPr="00CF094E">
        <w:rPr>
          <w:szCs w:val="32"/>
        </w:rPr>
        <w:t>– We aim to work transparently, with integrity and accountability for our actions and decisions. Embracing change, we take responsibility and remain honest in our interactions, fostering a culture of boldness and candid communication.</w:t>
      </w:r>
    </w:p>
    <w:p w14:paraId="057B62A1" w14:textId="77777777" w:rsidR="00CF094E" w:rsidRPr="00CF094E" w:rsidRDefault="00CF094E" w:rsidP="00CF094E">
      <w:pPr>
        <w:rPr>
          <w:szCs w:val="32"/>
        </w:rPr>
      </w:pPr>
      <w:r w:rsidRPr="00CF094E">
        <w:rPr>
          <w:szCs w:val="32"/>
        </w:rPr>
        <w:t xml:space="preserve"> </w:t>
      </w:r>
    </w:p>
    <w:p w14:paraId="69836A84" w14:textId="1C1C1DA6" w:rsidR="00CF094E" w:rsidRPr="00CF094E" w:rsidRDefault="00CF094E" w:rsidP="00CF094E">
      <w:pPr>
        <w:rPr>
          <w:szCs w:val="32"/>
        </w:rPr>
      </w:pPr>
      <w:r w:rsidRPr="00CF094E">
        <w:rPr>
          <w:szCs w:val="32"/>
        </w:rPr>
        <w:t xml:space="preserve">Respect – We respect the diversity of people and value their perspectives, professionalism and skills. Fostering trust and promoting autonomy in decision-making. We will challenge unprofessional behaviour while actively listening and being respectful of others' viewpoints. </w:t>
      </w:r>
    </w:p>
    <w:p w14:paraId="719A3459" w14:textId="77777777" w:rsidR="00CF094E" w:rsidRPr="00CF094E" w:rsidRDefault="00CF094E" w:rsidP="00CF094E">
      <w:pPr>
        <w:rPr>
          <w:szCs w:val="32"/>
        </w:rPr>
      </w:pPr>
      <w:r w:rsidRPr="00CF094E">
        <w:rPr>
          <w:szCs w:val="32"/>
        </w:rPr>
        <w:t xml:space="preserve"> </w:t>
      </w:r>
    </w:p>
    <w:p w14:paraId="3DD9A933" w14:textId="43D737D6" w:rsidR="009A706F" w:rsidRPr="00CF094E" w:rsidRDefault="00CF094E" w:rsidP="00CF094E">
      <w:pPr>
        <w:rPr>
          <w:szCs w:val="32"/>
        </w:rPr>
      </w:pPr>
      <w:r w:rsidRPr="00CF094E">
        <w:rPr>
          <w:szCs w:val="32"/>
        </w:rPr>
        <w:t>Excellence – We strive to deliver excellence through expertise, leadership and collaboration. We are committed to personal and professional development, coaching colleagues, and fostering a culture of learning and growth.</w:t>
      </w:r>
    </w:p>
    <w:p w14:paraId="452BD6BB" w14:textId="77777777" w:rsidR="009A706F" w:rsidRPr="0028676F" w:rsidRDefault="009A706F" w:rsidP="009A706F">
      <w:pPr>
        <w:pStyle w:val="ListParagraph"/>
        <w:ind w:left="993"/>
        <w:rPr>
          <w:szCs w:val="32"/>
        </w:rPr>
      </w:pPr>
    </w:p>
    <w:p w14:paraId="5FB10339" w14:textId="77777777" w:rsidR="00B87E67" w:rsidRPr="00B87E67" w:rsidRDefault="00B87E67" w:rsidP="00B87E67">
      <w:pPr>
        <w:rPr>
          <w:szCs w:val="32"/>
        </w:rPr>
      </w:pPr>
    </w:p>
    <w:p w14:paraId="0DA66CBE" w14:textId="4D61E062" w:rsidR="00B87E67" w:rsidRPr="00EA056B" w:rsidRDefault="00B87E67" w:rsidP="009870DB">
      <w:pPr>
        <w:spacing w:after="200" w:line="276" w:lineRule="auto"/>
        <w:rPr>
          <w:rFonts w:eastAsiaTheme="majorEastAsia" w:cstheme="majorBidi"/>
          <w:b/>
          <w:sz w:val="28"/>
          <w:szCs w:val="28"/>
        </w:rPr>
      </w:pPr>
      <w:r w:rsidRPr="00EA056B">
        <w:rPr>
          <w:b/>
          <w:sz w:val="28"/>
          <w:szCs w:val="28"/>
        </w:rPr>
        <w:t>Job purpose</w:t>
      </w:r>
    </w:p>
    <w:p w14:paraId="44A67CF4" w14:textId="77777777" w:rsidR="00B87E67" w:rsidRPr="00B87E67" w:rsidRDefault="00B87E67" w:rsidP="00B87E67">
      <w:pPr>
        <w:rPr>
          <w:szCs w:val="32"/>
        </w:rPr>
      </w:pPr>
    </w:p>
    <w:p w14:paraId="421484DE" w14:textId="0C91560A" w:rsidR="00B87E67" w:rsidRDefault="00B87E67" w:rsidP="00B87E67">
      <w:pPr>
        <w:rPr>
          <w:szCs w:val="32"/>
        </w:rPr>
      </w:pPr>
      <w:r w:rsidRPr="00B87E67">
        <w:rPr>
          <w:szCs w:val="32"/>
        </w:rPr>
        <w:t xml:space="preserve">The role has </w:t>
      </w:r>
      <w:r w:rsidR="0028676F">
        <w:rPr>
          <w:szCs w:val="32"/>
        </w:rPr>
        <w:t>four</w:t>
      </w:r>
      <w:r w:rsidR="0028676F" w:rsidRPr="00B87E67">
        <w:rPr>
          <w:szCs w:val="32"/>
        </w:rPr>
        <w:t xml:space="preserve"> </w:t>
      </w:r>
      <w:r w:rsidRPr="00B87E67">
        <w:rPr>
          <w:szCs w:val="32"/>
        </w:rPr>
        <w:t>core responsibilities:</w:t>
      </w:r>
    </w:p>
    <w:p w14:paraId="3CA41EDA" w14:textId="77777777" w:rsidR="00063F67" w:rsidRDefault="00063F67" w:rsidP="00B87E67">
      <w:pPr>
        <w:rPr>
          <w:szCs w:val="32"/>
        </w:rPr>
      </w:pPr>
    </w:p>
    <w:p w14:paraId="19682056" w14:textId="4DABC5CF" w:rsidR="004B5D24" w:rsidRPr="004A5313" w:rsidRDefault="004A5313" w:rsidP="004B5D24">
      <w:pPr>
        <w:rPr>
          <w:szCs w:val="32"/>
        </w:rPr>
      </w:pPr>
      <w:r w:rsidRPr="004A5313">
        <w:rPr>
          <w:szCs w:val="32"/>
        </w:rPr>
        <w:t>1. Assessment</w:t>
      </w:r>
    </w:p>
    <w:p w14:paraId="246D0229" w14:textId="6033C6FC" w:rsidR="004A5313" w:rsidRPr="00E32A11" w:rsidRDefault="004A5313" w:rsidP="00E32A11">
      <w:pPr>
        <w:pStyle w:val="ListParagraph"/>
        <w:numPr>
          <w:ilvl w:val="0"/>
          <w:numId w:val="44"/>
        </w:numPr>
        <w:rPr>
          <w:szCs w:val="32"/>
        </w:rPr>
      </w:pPr>
      <w:r w:rsidRPr="00E32A11">
        <w:rPr>
          <w:szCs w:val="32"/>
        </w:rPr>
        <w:t>to lead and support virtual regulatory assessments, site visit inspections and</w:t>
      </w:r>
    </w:p>
    <w:p w14:paraId="04F8A7A7" w14:textId="022A5BA5" w:rsidR="004A5313" w:rsidRPr="00E32A11" w:rsidRDefault="004A5313" w:rsidP="004B5D24">
      <w:pPr>
        <w:pStyle w:val="ListParagraph"/>
        <w:rPr>
          <w:szCs w:val="32"/>
        </w:rPr>
      </w:pPr>
      <w:r w:rsidRPr="00E32A11">
        <w:rPr>
          <w:szCs w:val="32"/>
        </w:rPr>
        <w:t>investigations</w:t>
      </w:r>
    </w:p>
    <w:p w14:paraId="52447374" w14:textId="00866E41" w:rsidR="004A5313" w:rsidRPr="00E32A11" w:rsidRDefault="004A5313" w:rsidP="00E32A11">
      <w:pPr>
        <w:pStyle w:val="ListParagraph"/>
        <w:numPr>
          <w:ilvl w:val="0"/>
          <w:numId w:val="44"/>
        </w:numPr>
        <w:rPr>
          <w:szCs w:val="32"/>
        </w:rPr>
      </w:pPr>
      <w:r w:rsidRPr="00E32A11">
        <w:rPr>
          <w:szCs w:val="32"/>
        </w:rPr>
        <w:t>to review incidents and make associated regulatory and licensing decisions</w:t>
      </w:r>
    </w:p>
    <w:p w14:paraId="270E156A" w14:textId="77777777" w:rsidR="004A5313" w:rsidRPr="00E32A11" w:rsidRDefault="004A5313" w:rsidP="004B5D24">
      <w:pPr>
        <w:pStyle w:val="ListParagraph"/>
        <w:rPr>
          <w:szCs w:val="32"/>
        </w:rPr>
      </w:pPr>
      <w:r w:rsidRPr="00E32A11">
        <w:rPr>
          <w:szCs w:val="32"/>
        </w:rPr>
        <w:t>ensuring that all relevant HTA standard operating procedures and guidance</w:t>
      </w:r>
    </w:p>
    <w:p w14:paraId="6258490A" w14:textId="77777777" w:rsidR="004A5313" w:rsidRPr="00E32A11" w:rsidRDefault="004A5313" w:rsidP="004B5D24">
      <w:pPr>
        <w:pStyle w:val="ListParagraph"/>
        <w:rPr>
          <w:szCs w:val="32"/>
        </w:rPr>
      </w:pPr>
      <w:r w:rsidRPr="00E32A11">
        <w:rPr>
          <w:szCs w:val="32"/>
        </w:rPr>
        <w:t>are followed and that all decisions are evidence-based, proportionate,</w:t>
      </w:r>
    </w:p>
    <w:p w14:paraId="6FF6F40C" w14:textId="2E0A7CCB" w:rsidR="004A5313" w:rsidRPr="00E32A11" w:rsidRDefault="004A5313" w:rsidP="004B5D24">
      <w:pPr>
        <w:pStyle w:val="ListParagraph"/>
        <w:rPr>
          <w:szCs w:val="32"/>
        </w:rPr>
      </w:pPr>
      <w:r w:rsidRPr="00E32A11">
        <w:rPr>
          <w:szCs w:val="32"/>
        </w:rPr>
        <w:t>defensible and risk-based</w:t>
      </w:r>
    </w:p>
    <w:p w14:paraId="6FFD7461" w14:textId="4727419F" w:rsidR="004A5313" w:rsidRPr="00E32A11" w:rsidRDefault="004A5313" w:rsidP="00E32A11">
      <w:pPr>
        <w:pStyle w:val="ListParagraph"/>
        <w:numPr>
          <w:ilvl w:val="0"/>
          <w:numId w:val="44"/>
        </w:numPr>
        <w:rPr>
          <w:szCs w:val="32"/>
        </w:rPr>
      </w:pPr>
      <w:r w:rsidRPr="00E32A11">
        <w:rPr>
          <w:szCs w:val="32"/>
        </w:rPr>
        <w:t>to assess new licence application</w:t>
      </w:r>
      <w:r w:rsidR="004B5D24">
        <w:rPr>
          <w:szCs w:val="32"/>
        </w:rPr>
        <w:t>s</w:t>
      </w:r>
    </w:p>
    <w:p w14:paraId="6966AF89" w14:textId="76E67314" w:rsidR="004A5313" w:rsidRPr="00E32A11" w:rsidRDefault="004A5313" w:rsidP="00E32A11">
      <w:pPr>
        <w:pStyle w:val="ListParagraph"/>
        <w:numPr>
          <w:ilvl w:val="0"/>
          <w:numId w:val="44"/>
        </w:numPr>
        <w:rPr>
          <w:szCs w:val="32"/>
        </w:rPr>
      </w:pPr>
      <w:r w:rsidRPr="00E32A11">
        <w:rPr>
          <w:szCs w:val="32"/>
        </w:rPr>
        <w:t>to assess and monitor compliance with licence conditions, HTA Codes of</w:t>
      </w:r>
    </w:p>
    <w:p w14:paraId="2369162E" w14:textId="4C206457" w:rsidR="004A5313" w:rsidRPr="00E32A11" w:rsidRDefault="004A5313" w:rsidP="004B5D24">
      <w:pPr>
        <w:pStyle w:val="ListParagraph"/>
        <w:rPr>
          <w:szCs w:val="32"/>
        </w:rPr>
      </w:pPr>
      <w:r w:rsidRPr="00E32A11">
        <w:rPr>
          <w:szCs w:val="32"/>
        </w:rPr>
        <w:t>Practice, licensing standards, and other HTA guidance</w:t>
      </w:r>
    </w:p>
    <w:p w14:paraId="40381720" w14:textId="77777777" w:rsidR="00E32A11" w:rsidRPr="004A5313" w:rsidRDefault="00E32A11" w:rsidP="004A5313">
      <w:pPr>
        <w:rPr>
          <w:szCs w:val="32"/>
        </w:rPr>
      </w:pPr>
    </w:p>
    <w:p w14:paraId="11849C69" w14:textId="77777777" w:rsidR="004A5313" w:rsidRPr="004A5313" w:rsidRDefault="004A5313" w:rsidP="004A5313">
      <w:pPr>
        <w:rPr>
          <w:szCs w:val="32"/>
        </w:rPr>
      </w:pPr>
      <w:r w:rsidRPr="004A5313">
        <w:rPr>
          <w:szCs w:val="32"/>
        </w:rPr>
        <w:t>2. Engagement</w:t>
      </w:r>
    </w:p>
    <w:p w14:paraId="27711661" w14:textId="4D97036A" w:rsidR="004A5313" w:rsidRPr="00B05225" w:rsidRDefault="004A5313" w:rsidP="00B05225">
      <w:pPr>
        <w:pStyle w:val="ListParagraph"/>
        <w:numPr>
          <w:ilvl w:val="0"/>
          <w:numId w:val="45"/>
        </w:numPr>
        <w:rPr>
          <w:szCs w:val="32"/>
        </w:rPr>
      </w:pPr>
      <w:r w:rsidRPr="00B05225">
        <w:rPr>
          <w:szCs w:val="32"/>
        </w:rPr>
        <w:t>to provide clear, evidence-based advice and guidance to a broad range of</w:t>
      </w:r>
    </w:p>
    <w:p w14:paraId="38743D7D" w14:textId="77777777" w:rsidR="004A5313" w:rsidRPr="00B05225" w:rsidRDefault="004A5313" w:rsidP="00B05225">
      <w:pPr>
        <w:pStyle w:val="ListParagraph"/>
        <w:rPr>
          <w:szCs w:val="32"/>
        </w:rPr>
      </w:pPr>
      <w:r w:rsidRPr="00B05225">
        <w:rPr>
          <w:szCs w:val="32"/>
        </w:rPr>
        <w:t>colleagues and external stakeholders in a variety of formats (including</w:t>
      </w:r>
    </w:p>
    <w:p w14:paraId="5E67AB5E" w14:textId="77777777" w:rsidR="004A5313" w:rsidRPr="00B05225" w:rsidRDefault="004A5313" w:rsidP="00B05225">
      <w:pPr>
        <w:pStyle w:val="ListParagraph"/>
        <w:rPr>
          <w:szCs w:val="32"/>
        </w:rPr>
      </w:pPr>
      <w:r w:rsidRPr="00B05225">
        <w:rPr>
          <w:szCs w:val="32"/>
        </w:rPr>
        <w:t>professional presentations)</w:t>
      </w:r>
    </w:p>
    <w:p w14:paraId="4A260F83" w14:textId="1F8EBE69" w:rsidR="004A5313" w:rsidRPr="00B05225" w:rsidRDefault="004A5313" w:rsidP="00B05225">
      <w:pPr>
        <w:pStyle w:val="ListParagraph"/>
        <w:numPr>
          <w:ilvl w:val="0"/>
          <w:numId w:val="45"/>
        </w:numPr>
        <w:rPr>
          <w:szCs w:val="32"/>
        </w:rPr>
      </w:pPr>
      <w:r w:rsidRPr="00B05225">
        <w:rPr>
          <w:szCs w:val="32"/>
        </w:rPr>
        <w:t>to share expertise with HTA staff</w:t>
      </w:r>
    </w:p>
    <w:p w14:paraId="312DF0AE" w14:textId="7460E769" w:rsidR="004A5313" w:rsidRPr="00B05225" w:rsidRDefault="004A5313" w:rsidP="00B05225">
      <w:pPr>
        <w:pStyle w:val="ListParagraph"/>
        <w:numPr>
          <w:ilvl w:val="0"/>
          <w:numId w:val="45"/>
        </w:numPr>
        <w:rPr>
          <w:szCs w:val="32"/>
        </w:rPr>
      </w:pPr>
      <w:r w:rsidRPr="00B05225">
        <w:rPr>
          <w:szCs w:val="32"/>
        </w:rPr>
        <w:t>to manage professional relationships with key stakeholders</w:t>
      </w:r>
    </w:p>
    <w:p w14:paraId="7D12A77E" w14:textId="77777777" w:rsidR="00B05225" w:rsidRPr="004A5313" w:rsidRDefault="00B05225" w:rsidP="004A5313">
      <w:pPr>
        <w:rPr>
          <w:szCs w:val="32"/>
        </w:rPr>
      </w:pPr>
    </w:p>
    <w:p w14:paraId="4A76FFC1" w14:textId="77777777" w:rsidR="004A5313" w:rsidRPr="004A5313" w:rsidRDefault="004A5313" w:rsidP="004A5313">
      <w:pPr>
        <w:rPr>
          <w:szCs w:val="32"/>
        </w:rPr>
      </w:pPr>
      <w:r w:rsidRPr="004A5313">
        <w:rPr>
          <w:szCs w:val="32"/>
        </w:rPr>
        <w:t>3. Proactivity</w:t>
      </w:r>
    </w:p>
    <w:p w14:paraId="523E5FF6" w14:textId="2E5BF8BE" w:rsidR="004A5313" w:rsidRPr="001B58F0" w:rsidRDefault="004A5313" w:rsidP="001B58F0">
      <w:pPr>
        <w:pStyle w:val="ListParagraph"/>
        <w:numPr>
          <w:ilvl w:val="0"/>
          <w:numId w:val="49"/>
        </w:numPr>
        <w:rPr>
          <w:szCs w:val="32"/>
        </w:rPr>
      </w:pPr>
      <w:r w:rsidRPr="001B58F0">
        <w:rPr>
          <w:szCs w:val="32"/>
        </w:rPr>
        <w:t>to support horizon scanning activities and to lead or contribute to</w:t>
      </w:r>
    </w:p>
    <w:p w14:paraId="3DF439D5" w14:textId="19626BC4" w:rsidR="004A5313" w:rsidRPr="001B58F0" w:rsidRDefault="004A5313" w:rsidP="001B58F0">
      <w:pPr>
        <w:pStyle w:val="ListParagraph"/>
        <w:rPr>
          <w:szCs w:val="32"/>
        </w:rPr>
      </w:pPr>
      <w:r w:rsidRPr="001B58F0">
        <w:rPr>
          <w:szCs w:val="32"/>
        </w:rPr>
        <w:t>development and implementation of regulatory policy</w:t>
      </w:r>
    </w:p>
    <w:p w14:paraId="5D5B7592" w14:textId="66DD9017" w:rsidR="004A5313" w:rsidRPr="001B58F0" w:rsidRDefault="004A5313" w:rsidP="001B58F0">
      <w:pPr>
        <w:pStyle w:val="ListParagraph"/>
        <w:numPr>
          <w:ilvl w:val="0"/>
          <w:numId w:val="49"/>
        </w:numPr>
        <w:rPr>
          <w:szCs w:val="32"/>
        </w:rPr>
      </w:pPr>
      <w:r w:rsidRPr="001B58F0">
        <w:rPr>
          <w:szCs w:val="32"/>
        </w:rPr>
        <w:t>to work collaboratively with colleagues to review and evaluate the options</w:t>
      </w:r>
    </w:p>
    <w:p w14:paraId="3E9D359F" w14:textId="1B544BAB" w:rsidR="004A5313" w:rsidRDefault="004A5313" w:rsidP="00EE45A4">
      <w:pPr>
        <w:pStyle w:val="ListParagraph"/>
        <w:rPr>
          <w:szCs w:val="32"/>
        </w:rPr>
      </w:pPr>
      <w:r w:rsidRPr="001B58F0">
        <w:rPr>
          <w:szCs w:val="32"/>
        </w:rPr>
        <w:t xml:space="preserve">available, and </w:t>
      </w:r>
      <w:r w:rsidR="0057757E">
        <w:rPr>
          <w:szCs w:val="32"/>
        </w:rPr>
        <w:t xml:space="preserve">to </w:t>
      </w:r>
      <w:r w:rsidRPr="001B58F0">
        <w:rPr>
          <w:szCs w:val="32"/>
        </w:rPr>
        <w:t>identif</w:t>
      </w:r>
      <w:r w:rsidR="00AC4929">
        <w:rPr>
          <w:szCs w:val="32"/>
        </w:rPr>
        <w:t>y</w:t>
      </w:r>
      <w:r w:rsidRPr="001B58F0">
        <w:rPr>
          <w:szCs w:val="32"/>
        </w:rPr>
        <w:t xml:space="preserve"> and escalat</w:t>
      </w:r>
      <w:r w:rsidR="00AC4929">
        <w:rPr>
          <w:szCs w:val="32"/>
        </w:rPr>
        <w:t xml:space="preserve">e </w:t>
      </w:r>
      <w:r w:rsidRPr="001B58F0">
        <w:rPr>
          <w:szCs w:val="32"/>
        </w:rPr>
        <w:t>issues to the Head</w:t>
      </w:r>
      <w:r w:rsidR="00EE45A4">
        <w:rPr>
          <w:szCs w:val="32"/>
        </w:rPr>
        <w:t xml:space="preserve"> </w:t>
      </w:r>
      <w:r w:rsidRPr="001B58F0">
        <w:rPr>
          <w:szCs w:val="32"/>
        </w:rPr>
        <w:t>of Regulation</w:t>
      </w:r>
    </w:p>
    <w:p w14:paraId="0868BD58" w14:textId="77777777" w:rsidR="001B58F0" w:rsidRPr="001B58F0" w:rsidRDefault="001B58F0" w:rsidP="001B58F0">
      <w:pPr>
        <w:pStyle w:val="ListParagraph"/>
        <w:rPr>
          <w:szCs w:val="32"/>
        </w:rPr>
      </w:pPr>
    </w:p>
    <w:p w14:paraId="301EF220" w14:textId="77777777" w:rsidR="004A5313" w:rsidRPr="004A5313" w:rsidRDefault="004A5313" w:rsidP="004A5313">
      <w:pPr>
        <w:rPr>
          <w:szCs w:val="32"/>
        </w:rPr>
      </w:pPr>
      <w:r w:rsidRPr="004A5313">
        <w:rPr>
          <w:szCs w:val="32"/>
        </w:rPr>
        <w:t>4. Wider support</w:t>
      </w:r>
    </w:p>
    <w:p w14:paraId="2E3B758A" w14:textId="67751191" w:rsidR="004A5313" w:rsidRPr="001B58F0" w:rsidRDefault="004A5313" w:rsidP="001B58F0">
      <w:pPr>
        <w:pStyle w:val="ListParagraph"/>
        <w:numPr>
          <w:ilvl w:val="0"/>
          <w:numId w:val="49"/>
        </w:numPr>
        <w:rPr>
          <w:szCs w:val="32"/>
        </w:rPr>
      </w:pPr>
      <w:r w:rsidRPr="001B58F0">
        <w:rPr>
          <w:szCs w:val="32"/>
        </w:rPr>
        <w:t>to lead or contribute to projects within HTA</w:t>
      </w:r>
    </w:p>
    <w:p w14:paraId="3A1906A6" w14:textId="6A5F70AA" w:rsidR="004A5313" w:rsidRPr="001B58F0" w:rsidRDefault="004A5313" w:rsidP="001B58F0">
      <w:pPr>
        <w:pStyle w:val="ListParagraph"/>
        <w:numPr>
          <w:ilvl w:val="0"/>
          <w:numId w:val="49"/>
        </w:numPr>
        <w:rPr>
          <w:szCs w:val="32"/>
        </w:rPr>
      </w:pPr>
      <w:r w:rsidRPr="001B58F0">
        <w:rPr>
          <w:szCs w:val="32"/>
        </w:rPr>
        <w:t>to lead or contribute to the development and implementation of robust</w:t>
      </w:r>
    </w:p>
    <w:p w14:paraId="6D20EE23" w14:textId="77777777" w:rsidR="004A5313" w:rsidRPr="001B58F0" w:rsidRDefault="004A5313" w:rsidP="001B58F0">
      <w:pPr>
        <w:pStyle w:val="ListParagraph"/>
        <w:rPr>
          <w:szCs w:val="32"/>
        </w:rPr>
      </w:pPr>
      <w:r w:rsidRPr="001B58F0">
        <w:rPr>
          <w:szCs w:val="32"/>
        </w:rPr>
        <w:t>systems and processes for licensing, inspections, regulatory assessments,</w:t>
      </w:r>
    </w:p>
    <w:p w14:paraId="32AA3A54" w14:textId="341D69EA" w:rsidR="004A5313" w:rsidRPr="001B58F0" w:rsidRDefault="004A5313" w:rsidP="001B58F0">
      <w:pPr>
        <w:pStyle w:val="ListParagraph"/>
        <w:rPr>
          <w:szCs w:val="32"/>
        </w:rPr>
      </w:pPr>
      <w:r w:rsidRPr="001B58F0">
        <w:rPr>
          <w:szCs w:val="32"/>
        </w:rPr>
        <w:t>investigations, incident review and enforcement</w:t>
      </w:r>
    </w:p>
    <w:p w14:paraId="61D91229" w14:textId="6E0DA951" w:rsidR="00063F67" w:rsidRPr="001B58F0" w:rsidRDefault="004A5313" w:rsidP="00F64C7B">
      <w:pPr>
        <w:pStyle w:val="ListParagraph"/>
        <w:numPr>
          <w:ilvl w:val="0"/>
          <w:numId w:val="49"/>
        </w:numPr>
        <w:rPr>
          <w:szCs w:val="32"/>
        </w:rPr>
      </w:pPr>
      <w:r w:rsidRPr="001B58F0">
        <w:rPr>
          <w:szCs w:val="32"/>
        </w:rPr>
        <w:t>to lead or contribute to development of the HTA’s standard operating</w:t>
      </w:r>
      <w:r w:rsidR="001B58F0">
        <w:rPr>
          <w:szCs w:val="32"/>
        </w:rPr>
        <w:t xml:space="preserve"> </w:t>
      </w:r>
      <w:r w:rsidRPr="001B58F0">
        <w:rPr>
          <w:szCs w:val="32"/>
        </w:rPr>
        <w:t>procedures and quality guidance manuals</w:t>
      </w:r>
    </w:p>
    <w:p w14:paraId="48C6CB96" w14:textId="77777777" w:rsidR="00063F67" w:rsidRPr="00B87E67" w:rsidRDefault="00063F67" w:rsidP="00B87E67">
      <w:pPr>
        <w:rPr>
          <w:szCs w:val="32"/>
        </w:rPr>
      </w:pPr>
    </w:p>
    <w:p w14:paraId="64086015" w14:textId="77777777" w:rsidR="00971871" w:rsidRPr="00971871" w:rsidRDefault="00971871" w:rsidP="00A964EC">
      <w:pPr>
        <w:pStyle w:val="Heading2"/>
        <w:ind w:left="0" w:firstLine="0"/>
      </w:pPr>
      <w:r w:rsidRPr="00971871">
        <w:t>Other responsibilities</w:t>
      </w:r>
    </w:p>
    <w:p w14:paraId="305AFDBE" w14:textId="77777777" w:rsidR="00971871" w:rsidRPr="00B87E67" w:rsidRDefault="00971871" w:rsidP="00971871">
      <w:pPr>
        <w:rPr>
          <w:szCs w:val="32"/>
        </w:rPr>
      </w:pPr>
    </w:p>
    <w:p w14:paraId="4C112FD8" w14:textId="0ABDBB5E" w:rsidR="00330078" w:rsidRPr="00E8203C" w:rsidRDefault="00330078" w:rsidP="00E8203C">
      <w:pPr>
        <w:pStyle w:val="ListParagraph"/>
        <w:numPr>
          <w:ilvl w:val="0"/>
          <w:numId w:val="46"/>
        </w:numPr>
        <w:rPr>
          <w:szCs w:val="32"/>
        </w:rPr>
      </w:pPr>
      <w:r w:rsidRPr="00E8203C">
        <w:rPr>
          <w:szCs w:val="32"/>
        </w:rPr>
        <w:t xml:space="preserve">To support the Heads of Regulation and the Director of Regulation as required and </w:t>
      </w:r>
      <w:r w:rsidR="009B7303">
        <w:rPr>
          <w:szCs w:val="32"/>
        </w:rPr>
        <w:t xml:space="preserve">to </w:t>
      </w:r>
      <w:r w:rsidRPr="00E8203C">
        <w:rPr>
          <w:szCs w:val="32"/>
        </w:rPr>
        <w:t xml:space="preserve">make recommendations to senior colleagues where significant regulatory action is required </w:t>
      </w:r>
    </w:p>
    <w:p w14:paraId="4A655353" w14:textId="6FCB79DC" w:rsidR="00330078" w:rsidRPr="00E8203C" w:rsidRDefault="00330078" w:rsidP="00E8203C">
      <w:pPr>
        <w:pStyle w:val="ListParagraph"/>
        <w:numPr>
          <w:ilvl w:val="0"/>
          <w:numId w:val="46"/>
        </w:numPr>
        <w:rPr>
          <w:szCs w:val="32"/>
        </w:rPr>
      </w:pPr>
      <w:r w:rsidRPr="00E8203C">
        <w:rPr>
          <w:szCs w:val="32"/>
        </w:rPr>
        <w:t xml:space="preserve">To represent HTA on relevant matters as and when required </w:t>
      </w:r>
    </w:p>
    <w:p w14:paraId="45E02BAC" w14:textId="77777777" w:rsidR="00685A0B" w:rsidRPr="00330078" w:rsidRDefault="00685A0B" w:rsidP="00330078">
      <w:pPr>
        <w:rPr>
          <w:szCs w:val="32"/>
        </w:rPr>
      </w:pPr>
    </w:p>
    <w:p w14:paraId="08770AA4" w14:textId="77777777" w:rsidR="00E90F72" w:rsidRPr="00E90F72" w:rsidRDefault="00E90F72" w:rsidP="0074669C">
      <w:pPr>
        <w:pStyle w:val="ListParagraph"/>
        <w:rPr>
          <w:szCs w:val="32"/>
        </w:rPr>
      </w:pPr>
    </w:p>
    <w:p w14:paraId="6710BEDD" w14:textId="68406C50" w:rsidR="00E90F72" w:rsidRPr="0074669C" w:rsidRDefault="00E90F72" w:rsidP="0074669C">
      <w:pPr>
        <w:rPr>
          <w:b/>
          <w:bCs/>
          <w:sz w:val="28"/>
          <w:szCs w:val="28"/>
        </w:rPr>
      </w:pPr>
      <w:r w:rsidRPr="0074669C">
        <w:rPr>
          <w:b/>
          <w:bCs/>
          <w:sz w:val="28"/>
          <w:szCs w:val="28"/>
        </w:rPr>
        <w:t xml:space="preserve">Person specification </w:t>
      </w:r>
    </w:p>
    <w:p w14:paraId="4311122E" w14:textId="77777777" w:rsidR="00B87E67" w:rsidRDefault="00B87E67" w:rsidP="00A7100C">
      <w:pPr>
        <w:rPr>
          <w:lang w:eastAsia="en-US"/>
        </w:rPr>
      </w:pPr>
    </w:p>
    <w:p w14:paraId="3ADFF213" w14:textId="77777777" w:rsidR="005C0288" w:rsidRDefault="005C0288" w:rsidP="005C0288">
      <w:pPr>
        <w:rPr>
          <w:lang w:eastAsia="en-US"/>
        </w:rPr>
      </w:pPr>
      <w:r>
        <w:rPr>
          <w:lang w:eastAsia="en-US"/>
        </w:rPr>
        <w:t>The role holder will have an ability to quickly acquire technical knowledge (including</w:t>
      </w:r>
    </w:p>
    <w:p w14:paraId="3C56872A" w14:textId="77777777" w:rsidR="005C0288" w:rsidRDefault="005C0288" w:rsidP="005C0288">
      <w:pPr>
        <w:rPr>
          <w:lang w:eastAsia="en-US"/>
        </w:rPr>
      </w:pPr>
      <w:r>
        <w:rPr>
          <w:lang w:eastAsia="en-US"/>
        </w:rPr>
        <w:t>Human Tissue legislation, Codes of Practice, HTA Standards and Guidance),</w:t>
      </w:r>
    </w:p>
    <w:p w14:paraId="5E8C1BF1" w14:textId="5CEA3D0A" w:rsidR="005C0288" w:rsidRDefault="005C0288" w:rsidP="005C0288">
      <w:pPr>
        <w:rPr>
          <w:lang w:eastAsia="en-US"/>
        </w:rPr>
      </w:pPr>
      <w:r>
        <w:rPr>
          <w:lang w:eastAsia="en-US"/>
        </w:rPr>
        <w:t xml:space="preserve">strong </w:t>
      </w:r>
      <w:r w:rsidR="00734C18">
        <w:rPr>
          <w:lang w:eastAsia="en-US"/>
        </w:rPr>
        <w:t xml:space="preserve">analytical </w:t>
      </w:r>
      <w:r>
        <w:rPr>
          <w:lang w:eastAsia="en-US"/>
        </w:rPr>
        <w:t>skills and e</w:t>
      </w:r>
      <w:r w:rsidR="00734C18">
        <w:rPr>
          <w:lang w:eastAsia="en-US"/>
        </w:rPr>
        <w:t xml:space="preserve">xcellent </w:t>
      </w:r>
      <w:r>
        <w:rPr>
          <w:lang w:eastAsia="en-US"/>
        </w:rPr>
        <w:t>communication skills.</w:t>
      </w:r>
    </w:p>
    <w:p w14:paraId="6FCDE9BF" w14:textId="77777777" w:rsidR="005C0288" w:rsidRDefault="005C0288" w:rsidP="005C0288">
      <w:pPr>
        <w:rPr>
          <w:lang w:eastAsia="en-US"/>
        </w:rPr>
      </w:pPr>
    </w:p>
    <w:p w14:paraId="4018C38B" w14:textId="77777777" w:rsidR="005C0288" w:rsidRDefault="005C0288" w:rsidP="005C0288">
      <w:pPr>
        <w:rPr>
          <w:lang w:eastAsia="en-US"/>
        </w:rPr>
      </w:pPr>
      <w:r>
        <w:rPr>
          <w:lang w:eastAsia="en-US"/>
        </w:rPr>
        <w:t>The role holder will need to be flexible as the role encompasses frequent travel to</w:t>
      </w:r>
    </w:p>
    <w:p w14:paraId="111280EB" w14:textId="77777777" w:rsidR="005C0288" w:rsidRDefault="005C0288" w:rsidP="005C0288">
      <w:pPr>
        <w:rPr>
          <w:lang w:eastAsia="en-US"/>
        </w:rPr>
      </w:pPr>
      <w:r>
        <w:rPr>
          <w:lang w:eastAsia="en-US"/>
        </w:rPr>
        <w:t>inspect licensed establishments within the UK, including regular overnight stays.</w:t>
      </w:r>
    </w:p>
    <w:p w14:paraId="49F7D8E9" w14:textId="77777777" w:rsidR="005C0288" w:rsidRDefault="005C0288" w:rsidP="005C0288">
      <w:pPr>
        <w:rPr>
          <w:lang w:eastAsia="en-US"/>
        </w:rPr>
      </w:pPr>
    </w:p>
    <w:p w14:paraId="0DE86D8C" w14:textId="77777777" w:rsidR="005C0288" w:rsidRDefault="005C0288" w:rsidP="005C0288">
      <w:pPr>
        <w:rPr>
          <w:lang w:eastAsia="en-US"/>
        </w:rPr>
      </w:pPr>
      <w:r>
        <w:rPr>
          <w:lang w:eastAsia="en-US"/>
        </w:rPr>
        <w:t>Although Regulation Managers will initially be inducted and trained to focus on one</w:t>
      </w:r>
    </w:p>
    <w:p w14:paraId="28BF53DA" w14:textId="77777777" w:rsidR="005C0288" w:rsidRDefault="005C0288" w:rsidP="005C0288">
      <w:pPr>
        <w:rPr>
          <w:lang w:eastAsia="en-US"/>
        </w:rPr>
      </w:pPr>
      <w:r>
        <w:rPr>
          <w:lang w:eastAsia="en-US"/>
        </w:rPr>
        <w:t>or two of the sectors we regulate, our expectation is for Regulation Managers to be</w:t>
      </w:r>
    </w:p>
    <w:p w14:paraId="4F008A51" w14:textId="77777777" w:rsidR="005C0288" w:rsidRDefault="005C0288" w:rsidP="005C0288">
      <w:pPr>
        <w:rPr>
          <w:lang w:eastAsia="en-US"/>
        </w:rPr>
      </w:pPr>
      <w:r>
        <w:rPr>
          <w:lang w:eastAsia="en-US"/>
        </w:rPr>
        <w:t>adaptable and to develop their competence to cover areas outside any initial</w:t>
      </w:r>
    </w:p>
    <w:p w14:paraId="62C72123" w14:textId="77777777" w:rsidR="005C0288" w:rsidRDefault="005C0288" w:rsidP="005C0288">
      <w:pPr>
        <w:rPr>
          <w:lang w:eastAsia="en-US"/>
        </w:rPr>
      </w:pPr>
      <w:r>
        <w:rPr>
          <w:lang w:eastAsia="en-US"/>
        </w:rPr>
        <w:t>specialism.</w:t>
      </w:r>
    </w:p>
    <w:p w14:paraId="4B7F31BE" w14:textId="77777777" w:rsidR="005C0288" w:rsidRDefault="005C0288" w:rsidP="005C0288">
      <w:pPr>
        <w:rPr>
          <w:lang w:eastAsia="en-US"/>
        </w:rPr>
      </w:pPr>
    </w:p>
    <w:p w14:paraId="0C4F2225" w14:textId="77777777" w:rsidR="005C0288" w:rsidRDefault="005C0288" w:rsidP="005C0288">
      <w:pPr>
        <w:rPr>
          <w:lang w:eastAsia="en-US"/>
        </w:rPr>
      </w:pPr>
      <w:r>
        <w:rPr>
          <w:lang w:eastAsia="en-US"/>
        </w:rPr>
        <w:t>The role holder will be comfortable with exposure to issues involving the</w:t>
      </w:r>
    </w:p>
    <w:p w14:paraId="52DDA488" w14:textId="77777777" w:rsidR="005C0288" w:rsidRDefault="005C0288" w:rsidP="005C0288">
      <w:pPr>
        <w:rPr>
          <w:lang w:eastAsia="en-US"/>
        </w:rPr>
      </w:pPr>
      <w:r>
        <w:rPr>
          <w:lang w:eastAsia="en-US"/>
        </w:rPr>
        <w:t>management of the deceased, which may involve inspecting facilities handling the</w:t>
      </w:r>
    </w:p>
    <w:p w14:paraId="1BFDCD00" w14:textId="77777777" w:rsidR="005C0288" w:rsidRDefault="005C0288" w:rsidP="005C0288">
      <w:pPr>
        <w:rPr>
          <w:lang w:eastAsia="en-US"/>
        </w:rPr>
      </w:pPr>
      <w:r>
        <w:rPr>
          <w:lang w:eastAsia="en-US"/>
        </w:rPr>
        <w:t>deceased, such as mortuaries or anatomy schools.</w:t>
      </w:r>
    </w:p>
    <w:p w14:paraId="56142DBA" w14:textId="77777777" w:rsidR="005C0288" w:rsidRDefault="005C0288" w:rsidP="005C0288">
      <w:pPr>
        <w:rPr>
          <w:lang w:eastAsia="en-US"/>
        </w:rPr>
      </w:pPr>
    </w:p>
    <w:p w14:paraId="72AE3970" w14:textId="77777777" w:rsidR="005C0288" w:rsidRDefault="005C0288" w:rsidP="005C0288">
      <w:pPr>
        <w:rPr>
          <w:lang w:eastAsia="en-US"/>
        </w:rPr>
      </w:pPr>
      <w:r>
        <w:rPr>
          <w:lang w:eastAsia="en-US"/>
        </w:rPr>
        <w:t>A high standard of professional behaviour is expected. The role requires someone</w:t>
      </w:r>
    </w:p>
    <w:p w14:paraId="20DE5F9F" w14:textId="77777777" w:rsidR="005C0288" w:rsidRDefault="005C0288" w:rsidP="005C0288">
      <w:pPr>
        <w:rPr>
          <w:lang w:eastAsia="en-US"/>
        </w:rPr>
      </w:pPr>
      <w:r>
        <w:rPr>
          <w:lang w:eastAsia="en-US"/>
        </w:rPr>
        <w:t>who can remain calm under pressure whilst also being empathetic towards people</w:t>
      </w:r>
    </w:p>
    <w:p w14:paraId="20034556" w14:textId="0E0719D3" w:rsidR="0081783C" w:rsidRDefault="005C0288" w:rsidP="005C0288">
      <w:pPr>
        <w:rPr>
          <w:lang w:eastAsia="en-US"/>
        </w:rPr>
      </w:pPr>
      <w:r>
        <w:rPr>
          <w:lang w:eastAsia="en-US"/>
        </w:rPr>
        <w:t>who may be distressed.</w:t>
      </w:r>
    </w:p>
    <w:p w14:paraId="13B8A8F2" w14:textId="77777777" w:rsidR="005C0288" w:rsidRDefault="005C0288" w:rsidP="005C0288">
      <w:pPr>
        <w:rPr>
          <w:lang w:eastAsia="en-US"/>
        </w:rPr>
      </w:pPr>
    </w:p>
    <w:p w14:paraId="19107198" w14:textId="334298C0" w:rsidR="0079281F" w:rsidRDefault="0079281F" w:rsidP="00BA4C5F">
      <w:pPr>
        <w:pStyle w:val="Heading2"/>
        <w:ind w:left="0" w:firstLine="0"/>
      </w:pPr>
      <w:r w:rsidRPr="009870DB">
        <w:t>Essential criteria</w:t>
      </w:r>
    </w:p>
    <w:p w14:paraId="75ABAC90" w14:textId="77777777" w:rsidR="00967450" w:rsidRPr="00967450" w:rsidRDefault="00967450" w:rsidP="00967450"/>
    <w:p w14:paraId="61AC8330" w14:textId="77777777" w:rsidR="00734C18" w:rsidRDefault="00734C18" w:rsidP="00967450">
      <w:pPr>
        <w:rPr>
          <w:rFonts w:eastAsiaTheme="majorEastAsia" w:cstheme="majorBidi"/>
        </w:rPr>
      </w:pPr>
      <w:r w:rsidRPr="00734C18">
        <w:rPr>
          <w:rFonts w:eastAsiaTheme="majorEastAsia" w:cstheme="majorBidi"/>
        </w:rPr>
        <w:t>The following are considered essential criteria for the role:</w:t>
      </w:r>
    </w:p>
    <w:p w14:paraId="3775B515" w14:textId="77777777" w:rsidR="00734C18" w:rsidRDefault="00734C18" w:rsidP="00967450">
      <w:pPr>
        <w:rPr>
          <w:rFonts w:eastAsiaTheme="majorEastAsia" w:cstheme="majorBidi"/>
        </w:rPr>
      </w:pPr>
    </w:p>
    <w:p w14:paraId="19A67B86" w14:textId="674CCB4D" w:rsidR="00967450" w:rsidRPr="00734C18" w:rsidRDefault="00967450" w:rsidP="00734C18">
      <w:pPr>
        <w:pStyle w:val="ListParagraph"/>
        <w:numPr>
          <w:ilvl w:val="0"/>
          <w:numId w:val="50"/>
        </w:numPr>
        <w:rPr>
          <w:rFonts w:eastAsiaTheme="majorEastAsia" w:cstheme="majorBidi"/>
        </w:rPr>
      </w:pPr>
      <w:r w:rsidRPr="00734C18">
        <w:rPr>
          <w:rFonts w:eastAsiaTheme="majorEastAsia" w:cstheme="majorBidi"/>
        </w:rPr>
        <w:t xml:space="preserve">Strong analytical skills – </w:t>
      </w:r>
      <w:r w:rsidR="00734C18" w:rsidRPr="00734C18">
        <w:rPr>
          <w:rFonts w:eastAsiaTheme="majorEastAsia" w:cstheme="majorBidi"/>
        </w:rPr>
        <w:t xml:space="preserve">the </w:t>
      </w:r>
      <w:r w:rsidRPr="00734C18">
        <w:rPr>
          <w:rFonts w:eastAsiaTheme="majorEastAsia" w:cstheme="majorBidi"/>
        </w:rPr>
        <w:t>ab</w:t>
      </w:r>
      <w:r w:rsidR="00734C18" w:rsidRPr="00734C18">
        <w:rPr>
          <w:rFonts w:eastAsiaTheme="majorEastAsia" w:cstheme="majorBidi"/>
        </w:rPr>
        <w:t>ility</w:t>
      </w:r>
      <w:r w:rsidRPr="00734C18">
        <w:rPr>
          <w:rFonts w:eastAsiaTheme="majorEastAsia" w:cstheme="majorBidi"/>
        </w:rPr>
        <w:t xml:space="preserve"> to review and analyse large quantities of complex information, from a variety of sources and in various forms, to identify key issues and to risk profile.</w:t>
      </w:r>
    </w:p>
    <w:p w14:paraId="7F06C05D" w14:textId="77777777" w:rsidR="00A26219" w:rsidRPr="00967450" w:rsidRDefault="00A26219" w:rsidP="00967450">
      <w:pPr>
        <w:rPr>
          <w:rFonts w:eastAsiaTheme="majorEastAsia" w:cstheme="majorBidi"/>
        </w:rPr>
      </w:pPr>
    </w:p>
    <w:p w14:paraId="22DD864B" w14:textId="2619DE2E" w:rsidR="00967450" w:rsidRPr="00734C18" w:rsidRDefault="00967450" w:rsidP="00734C18">
      <w:pPr>
        <w:pStyle w:val="ListParagraph"/>
        <w:numPr>
          <w:ilvl w:val="0"/>
          <w:numId w:val="50"/>
        </w:numPr>
        <w:rPr>
          <w:rFonts w:eastAsiaTheme="majorEastAsia" w:cstheme="majorBidi"/>
        </w:rPr>
      </w:pPr>
      <w:r w:rsidRPr="00734C18">
        <w:rPr>
          <w:rFonts w:eastAsiaTheme="majorEastAsia" w:cstheme="majorBidi"/>
        </w:rPr>
        <w:lastRenderedPageBreak/>
        <w:t xml:space="preserve">Excellent oral and written communication skills </w:t>
      </w:r>
      <w:r w:rsidR="00734C18" w:rsidRPr="00734C18">
        <w:rPr>
          <w:rFonts w:eastAsiaTheme="majorEastAsia" w:cstheme="majorBidi"/>
        </w:rPr>
        <w:t>–</w:t>
      </w:r>
      <w:r w:rsidRPr="00734C18">
        <w:rPr>
          <w:rFonts w:eastAsiaTheme="majorEastAsia" w:cstheme="majorBidi"/>
        </w:rPr>
        <w:t xml:space="preserve"> </w:t>
      </w:r>
      <w:r w:rsidR="00734C18" w:rsidRPr="00734C18">
        <w:rPr>
          <w:rFonts w:eastAsiaTheme="majorEastAsia" w:cstheme="majorBidi"/>
        </w:rPr>
        <w:t xml:space="preserve">the </w:t>
      </w:r>
      <w:r w:rsidRPr="00734C18">
        <w:rPr>
          <w:rFonts w:eastAsiaTheme="majorEastAsia" w:cstheme="majorBidi"/>
        </w:rPr>
        <w:t>ab</w:t>
      </w:r>
      <w:r w:rsidR="00734C18" w:rsidRPr="00734C18">
        <w:rPr>
          <w:rFonts w:eastAsiaTheme="majorEastAsia" w:cstheme="majorBidi"/>
        </w:rPr>
        <w:t>ility</w:t>
      </w:r>
      <w:r w:rsidRPr="00734C18">
        <w:rPr>
          <w:rFonts w:eastAsiaTheme="majorEastAsia" w:cstheme="majorBidi"/>
        </w:rPr>
        <w:t xml:space="preserve"> to write clearly and persuasively in plain English, adapting style to be suitable for the audience</w:t>
      </w:r>
      <w:r w:rsidR="00A26219" w:rsidRPr="00734C18">
        <w:rPr>
          <w:rFonts w:eastAsiaTheme="majorEastAsia" w:cstheme="majorBidi"/>
        </w:rPr>
        <w:t>.</w:t>
      </w:r>
    </w:p>
    <w:p w14:paraId="103DBF18" w14:textId="77777777" w:rsidR="00A26219" w:rsidRPr="00967450" w:rsidRDefault="00A26219" w:rsidP="00967450">
      <w:pPr>
        <w:rPr>
          <w:rFonts w:eastAsiaTheme="majorEastAsia" w:cstheme="majorBidi"/>
        </w:rPr>
      </w:pPr>
    </w:p>
    <w:p w14:paraId="2775B115" w14:textId="143E105A" w:rsidR="00967450" w:rsidRPr="00734C18" w:rsidRDefault="00734C18" w:rsidP="00734C18">
      <w:pPr>
        <w:pStyle w:val="ListParagraph"/>
        <w:numPr>
          <w:ilvl w:val="0"/>
          <w:numId w:val="50"/>
        </w:numPr>
        <w:rPr>
          <w:rFonts w:eastAsiaTheme="majorEastAsia" w:cstheme="majorBidi"/>
        </w:rPr>
      </w:pPr>
      <w:r w:rsidRPr="00734C18">
        <w:rPr>
          <w:rFonts w:eastAsiaTheme="majorEastAsia" w:cstheme="majorBidi"/>
        </w:rPr>
        <w:t>The a</w:t>
      </w:r>
      <w:r w:rsidR="00967450" w:rsidRPr="00734C18">
        <w:rPr>
          <w:rFonts w:eastAsiaTheme="majorEastAsia" w:cstheme="majorBidi"/>
        </w:rPr>
        <w:t xml:space="preserve">bility to confidently and competently interact with a wide range of stakeholders virtually and face-to-face, particularly but not exclusively in the professional community, representing the organisation with an authoritative voice. </w:t>
      </w:r>
    </w:p>
    <w:p w14:paraId="69173131" w14:textId="77777777" w:rsidR="00967450" w:rsidRPr="00967450" w:rsidRDefault="00967450" w:rsidP="00967450">
      <w:pPr>
        <w:rPr>
          <w:rFonts w:eastAsiaTheme="majorEastAsia" w:cstheme="majorBidi"/>
          <w:sz w:val="28"/>
          <w:szCs w:val="28"/>
        </w:rPr>
      </w:pPr>
    </w:p>
    <w:p w14:paraId="39C71857" w14:textId="5BB2A942" w:rsidR="00967450" w:rsidRPr="00734C18" w:rsidRDefault="00734C18" w:rsidP="00734C18">
      <w:pPr>
        <w:pStyle w:val="ListParagraph"/>
        <w:numPr>
          <w:ilvl w:val="0"/>
          <w:numId w:val="50"/>
        </w:numPr>
        <w:rPr>
          <w:rFonts w:eastAsiaTheme="majorEastAsia" w:cstheme="majorBidi"/>
        </w:rPr>
      </w:pPr>
      <w:r w:rsidRPr="00734C18">
        <w:rPr>
          <w:rFonts w:eastAsiaTheme="majorEastAsia" w:cstheme="majorBidi"/>
        </w:rPr>
        <w:t>The a</w:t>
      </w:r>
      <w:r w:rsidR="00967450" w:rsidRPr="00734C18">
        <w:rPr>
          <w:rFonts w:eastAsiaTheme="majorEastAsia" w:cstheme="majorBidi"/>
        </w:rPr>
        <w:t>bility to work effectively under pressure and to respond constructively, and when appropriate firmly, in dealing with challenge and disagreement.</w:t>
      </w:r>
    </w:p>
    <w:p w14:paraId="1A8AC827" w14:textId="77777777" w:rsidR="00A26219" w:rsidRPr="00967450" w:rsidRDefault="00A26219" w:rsidP="00967450">
      <w:pPr>
        <w:rPr>
          <w:rFonts w:eastAsiaTheme="majorEastAsia" w:cstheme="majorBidi"/>
        </w:rPr>
      </w:pPr>
    </w:p>
    <w:p w14:paraId="25FD9EE5" w14:textId="500B789F" w:rsidR="00967450" w:rsidRPr="00734C18" w:rsidRDefault="00734C18" w:rsidP="00734C18">
      <w:pPr>
        <w:pStyle w:val="ListParagraph"/>
        <w:numPr>
          <w:ilvl w:val="0"/>
          <w:numId w:val="50"/>
        </w:numPr>
        <w:rPr>
          <w:rFonts w:eastAsiaTheme="majorEastAsia" w:cstheme="majorBidi"/>
        </w:rPr>
      </w:pPr>
      <w:r w:rsidRPr="00734C18">
        <w:rPr>
          <w:rFonts w:eastAsiaTheme="majorEastAsia" w:cstheme="majorBidi"/>
        </w:rPr>
        <w:t>The a</w:t>
      </w:r>
      <w:r w:rsidR="00967450" w:rsidRPr="00734C18">
        <w:rPr>
          <w:rFonts w:eastAsiaTheme="majorEastAsia" w:cstheme="majorBidi"/>
        </w:rPr>
        <w:t>bility to forward plan work - able to prioritise and to be sufficiently flexible to re-prioritise as circumstances change and in accordance with organisational need.</w:t>
      </w:r>
    </w:p>
    <w:p w14:paraId="47C2D107" w14:textId="77777777" w:rsidR="00FF1504" w:rsidRPr="00967450" w:rsidRDefault="00FF1504" w:rsidP="00967450">
      <w:pPr>
        <w:rPr>
          <w:rFonts w:eastAsiaTheme="majorEastAsia" w:cstheme="majorBidi"/>
        </w:rPr>
      </w:pPr>
    </w:p>
    <w:p w14:paraId="62777FD8" w14:textId="30EACAA1" w:rsidR="00A31A90" w:rsidRPr="00734C18" w:rsidRDefault="00734C18" w:rsidP="00734C18">
      <w:pPr>
        <w:pStyle w:val="ListParagraph"/>
        <w:numPr>
          <w:ilvl w:val="0"/>
          <w:numId w:val="50"/>
        </w:numPr>
        <w:rPr>
          <w:rFonts w:eastAsiaTheme="majorEastAsia" w:cstheme="majorBidi"/>
        </w:rPr>
      </w:pPr>
      <w:r w:rsidRPr="00734C18">
        <w:rPr>
          <w:rFonts w:eastAsiaTheme="majorEastAsia" w:cstheme="majorBidi"/>
        </w:rPr>
        <w:t>The a</w:t>
      </w:r>
      <w:r w:rsidR="00967450" w:rsidRPr="00734C18">
        <w:rPr>
          <w:rFonts w:eastAsiaTheme="majorEastAsia" w:cstheme="majorBidi"/>
        </w:rPr>
        <w:t>bility to work effectively, independently and constructively as well as in a supportive fashion when working as part of a team.</w:t>
      </w:r>
    </w:p>
    <w:p w14:paraId="1AFF433B" w14:textId="77777777" w:rsidR="00FF1504" w:rsidRPr="00EA056B" w:rsidRDefault="00FF1504" w:rsidP="00967450">
      <w:pPr>
        <w:rPr>
          <w:rFonts w:eastAsiaTheme="majorEastAsia" w:cstheme="majorBidi"/>
        </w:rPr>
      </w:pPr>
    </w:p>
    <w:p w14:paraId="46F3A8E8" w14:textId="77777777" w:rsidR="00F77DC7" w:rsidRDefault="00F77DC7" w:rsidP="00BA4C5F">
      <w:pPr>
        <w:pStyle w:val="Heading2"/>
        <w:ind w:left="0" w:firstLine="0"/>
      </w:pPr>
      <w:r>
        <w:t>Desirable c</w:t>
      </w:r>
      <w:r w:rsidR="00D80402">
        <w:t>riteria</w:t>
      </w:r>
    </w:p>
    <w:p w14:paraId="65E900FA" w14:textId="77777777" w:rsidR="0026679C" w:rsidRPr="0026679C" w:rsidRDefault="0026679C" w:rsidP="0026679C"/>
    <w:p w14:paraId="6897A330" w14:textId="77777777" w:rsidR="00734C18" w:rsidRDefault="00734C18" w:rsidP="00F77DC7">
      <w:pPr>
        <w:rPr>
          <w:szCs w:val="32"/>
        </w:rPr>
      </w:pPr>
      <w:r w:rsidRPr="00734C18">
        <w:rPr>
          <w:szCs w:val="32"/>
        </w:rPr>
        <w:t>The following are considered desirable criteria for the role:</w:t>
      </w:r>
    </w:p>
    <w:p w14:paraId="1B89C268" w14:textId="77777777" w:rsidR="00734C18" w:rsidRDefault="00734C18" w:rsidP="00F77DC7">
      <w:pPr>
        <w:rPr>
          <w:szCs w:val="32"/>
        </w:rPr>
      </w:pPr>
    </w:p>
    <w:p w14:paraId="602E5928" w14:textId="074BE126" w:rsidR="00734C18" w:rsidRPr="00734C18" w:rsidRDefault="00734C18" w:rsidP="00734C18">
      <w:pPr>
        <w:pStyle w:val="ListParagraph"/>
        <w:numPr>
          <w:ilvl w:val="0"/>
          <w:numId w:val="50"/>
        </w:numPr>
        <w:rPr>
          <w:szCs w:val="32"/>
        </w:rPr>
      </w:pPr>
      <w:r w:rsidRPr="00734C18">
        <w:rPr>
          <w:szCs w:val="32"/>
        </w:rPr>
        <w:t>Relevant post-graduate qualifications - we welcome applicants who have successfully obtained a PhD in a relevant subject area.</w:t>
      </w:r>
    </w:p>
    <w:p w14:paraId="6D1F3E3A" w14:textId="77777777" w:rsidR="00734C18" w:rsidRPr="00734C18" w:rsidRDefault="00734C18" w:rsidP="00734C18">
      <w:pPr>
        <w:rPr>
          <w:szCs w:val="32"/>
        </w:rPr>
      </w:pPr>
    </w:p>
    <w:p w14:paraId="62A32A15" w14:textId="7E3BB368" w:rsidR="00734C18" w:rsidRPr="00734C18" w:rsidRDefault="00734C18" w:rsidP="00734C18">
      <w:pPr>
        <w:pStyle w:val="ListParagraph"/>
        <w:numPr>
          <w:ilvl w:val="0"/>
          <w:numId w:val="50"/>
        </w:numPr>
        <w:rPr>
          <w:szCs w:val="32"/>
        </w:rPr>
      </w:pPr>
      <w:r w:rsidRPr="00734C18">
        <w:rPr>
          <w:szCs w:val="32"/>
        </w:rPr>
        <w:t>Experience of working in one of the following sectors regulated by HTA: Human Application (HA), Organ Donation and Transplantation (</w:t>
      </w:r>
      <w:proofErr w:type="spellStart"/>
      <w:r w:rsidRPr="00734C18">
        <w:rPr>
          <w:szCs w:val="32"/>
        </w:rPr>
        <w:t>ODT</w:t>
      </w:r>
      <w:proofErr w:type="spellEnd"/>
      <w:r w:rsidRPr="00734C18">
        <w:rPr>
          <w:szCs w:val="32"/>
        </w:rPr>
        <w:t xml:space="preserve">), or Research. </w:t>
      </w:r>
    </w:p>
    <w:p w14:paraId="289260F1" w14:textId="77777777" w:rsidR="00734C18" w:rsidRPr="00734C18" w:rsidRDefault="00734C18" w:rsidP="00734C18">
      <w:pPr>
        <w:rPr>
          <w:szCs w:val="32"/>
        </w:rPr>
      </w:pPr>
    </w:p>
    <w:p w14:paraId="7F20F4C8" w14:textId="4FA6D7E1" w:rsidR="00026049" w:rsidRPr="00734C18" w:rsidRDefault="00734C18" w:rsidP="00734C18">
      <w:pPr>
        <w:pStyle w:val="ListParagraph"/>
        <w:numPr>
          <w:ilvl w:val="0"/>
          <w:numId w:val="50"/>
        </w:numPr>
        <w:rPr>
          <w:szCs w:val="32"/>
        </w:rPr>
      </w:pPr>
      <w:r w:rsidRPr="00734C18">
        <w:rPr>
          <w:szCs w:val="32"/>
        </w:rPr>
        <w:t>Appropriate alternative professional experience – for example, experience in a relevant industry, healthcare institution or other regulatory body.</w:t>
      </w:r>
    </w:p>
    <w:p w14:paraId="12BE0671" w14:textId="1C09B5B3" w:rsidR="00026049" w:rsidRPr="00026049" w:rsidRDefault="00026049" w:rsidP="00026049">
      <w:pPr>
        <w:rPr>
          <w:szCs w:val="32"/>
        </w:rPr>
      </w:pPr>
    </w:p>
    <w:sectPr w:rsidR="00026049" w:rsidRPr="00026049" w:rsidSect="00B116E5">
      <w:headerReference w:type="default" r:id="rId11"/>
      <w:footerReference w:type="default" r:id="rId12"/>
      <w:footerReference w:type="first" r:id="rId13"/>
      <w:pgSz w:w="11907" w:h="16840" w:code="9"/>
      <w:pgMar w:top="567" w:right="1304" w:bottom="1418" w:left="1701" w:header="567"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B7E8" w14:textId="77777777" w:rsidR="0050392A" w:rsidRDefault="0050392A">
      <w:r>
        <w:separator/>
      </w:r>
    </w:p>
  </w:endnote>
  <w:endnote w:type="continuationSeparator" w:id="0">
    <w:p w14:paraId="3394299C" w14:textId="77777777" w:rsidR="0050392A" w:rsidRDefault="0050392A">
      <w:r>
        <w:continuationSeparator/>
      </w:r>
    </w:p>
  </w:endnote>
  <w:endnote w:type="continuationNotice" w:id="1">
    <w:p w14:paraId="4E2BB108" w14:textId="77777777" w:rsidR="0050392A" w:rsidRDefault="00503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ntax LT Std">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004C" w14:textId="77777777" w:rsidR="00B0551F" w:rsidRDefault="006435C6">
    <w:pPr>
      <w:pStyle w:val="Footer"/>
      <w:jc w:val="right"/>
    </w:pPr>
    <w:r>
      <w:fldChar w:fldCharType="begin"/>
    </w:r>
    <w:r>
      <w:instrText xml:space="preserve"> PAGE </w:instrText>
    </w:r>
    <w:r>
      <w:fldChar w:fldCharType="separate"/>
    </w:r>
    <w:r w:rsidR="00B85B12">
      <w:rPr>
        <w:noProof/>
      </w:rPr>
      <w:t>2</w:t>
    </w:r>
    <w:r>
      <w:rPr>
        <w:noProof/>
      </w:rPr>
      <w:fldChar w:fldCharType="end"/>
    </w:r>
  </w:p>
  <w:p w14:paraId="4D953654" w14:textId="77777777" w:rsidR="006A2EF2" w:rsidRDefault="006A2E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678E" w14:textId="77777777" w:rsidR="00514B20" w:rsidRDefault="00514B20" w:rsidP="00514B20">
    <w:pPr>
      <w:pStyle w:val="Footer"/>
      <w:ind w:right="-29"/>
      <w:jc w:val="right"/>
    </w:pPr>
  </w:p>
  <w:p w14:paraId="429083BC" w14:textId="77777777" w:rsidR="00514B20" w:rsidRDefault="00F05223" w:rsidP="00514B20">
    <w:pPr>
      <w:jc w:val="right"/>
      <w:rPr>
        <w:rFonts w:ascii="Syntax LT Std" w:hAnsi="Syntax LT Std" w:cs="Segoe UI"/>
        <w:sz w:val="18"/>
        <w:szCs w:val="18"/>
      </w:rPr>
    </w:pPr>
    <w:r>
      <w:rPr>
        <w:noProof/>
      </w:rPr>
      <w:drawing>
        <wp:anchor distT="0" distB="0" distL="114300" distR="114300" simplePos="0" relativeHeight="251658241" behindDoc="0" locked="0" layoutInCell="1" allowOverlap="1" wp14:anchorId="1C1537E3" wp14:editId="750DB0D7">
          <wp:simplePos x="0" y="0"/>
          <wp:positionH relativeFrom="page">
            <wp:posOffset>4205605</wp:posOffset>
          </wp:positionH>
          <wp:positionV relativeFrom="paragraph">
            <wp:posOffset>139065</wp:posOffset>
          </wp:positionV>
          <wp:extent cx="838835" cy="342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835" cy="342265"/>
                  </a:xfrm>
                  <a:prstGeom prst="rect">
                    <a:avLst/>
                  </a:prstGeom>
                  <a:noFill/>
                </pic:spPr>
              </pic:pic>
            </a:graphicData>
          </a:graphic>
          <wp14:sizeRelH relativeFrom="page">
            <wp14:pctWidth>0</wp14:pctWidth>
          </wp14:sizeRelH>
          <wp14:sizeRelV relativeFrom="page">
            <wp14:pctHeight>0</wp14:pctHeight>
          </wp14:sizeRelV>
        </wp:anchor>
      </w:drawing>
    </w:r>
  </w:p>
  <w:p w14:paraId="3D1A9246" w14:textId="77777777" w:rsidR="00B0551F" w:rsidRDefault="005049D9" w:rsidP="005049D9">
    <w:pPr>
      <w:pStyle w:val="Footer"/>
      <w:tabs>
        <w:tab w:val="clear" w:pos="8640"/>
      </w:tabs>
      <w:ind w:right="-737"/>
      <w:jc w:val="right"/>
    </w:pPr>
    <w:r>
      <w:rPr>
        <w:noProof/>
      </w:rPr>
      <w:drawing>
        <wp:inline distT="0" distB="0" distL="0" distR="0" wp14:anchorId="29461CD8" wp14:editId="01CD6450">
          <wp:extent cx="665747" cy="335698"/>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10146" b="14214"/>
                  <a:stretch/>
                </pic:blipFill>
                <pic:spPr bwMode="auto">
                  <a:xfrm>
                    <a:off x="0" y="0"/>
                    <a:ext cx="690268" cy="34806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F8DFC5F" wp14:editId="4517A1E7">
          <wp:extent cx="1067095" cy="34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5392" cy="372275"/>
                  </a:xfrm>
                  <a:prstGeom prst="rect">
                    <a:avLst/>
                  </a:prstGeom>
                  <a:noFill/>
                  <a:ln>
                    <a:noFill/>
                  </a:ln>
                </pic:spPr>
              </pic:pic>
            </a:graphicData>
          </a:graphic>
        </wp:inline>
      </w:drawing>
    </w:r>
    <w:r w:rsidR="003D0D07">
      <w:rPr>
        <w:noProof/>
      </w:rPr>
      <w:drawing>
        <wp:anchor distT="0" distB="0" distL="114300" distR="114300" simplePos="0" relativeHeight="251658240" behindDoc="0" locked="1" layoutInCell="1" allowOverlap="1" wp14:anchorId="36AB0026" wp14:editId="5931747D">
          <wp:simplePos x="0" y="0"/>
          <wp:positionH relativeFrom="page">
            <wp:posOffset>4752340</wp:posOffset>
          </wp:positionH>
          <wp:positionV relativeFrom="page">
            <wp:posOffset>360045</wp:posOffset>
          </wp:positionV>
          <wp:extent cx="2019300" cy="609600"/>
          <wp:effectExtent l="19050" t="0" r="0" b="0"/>
          <wp:wrapNone/>
          <wp:docPr id="4" name="Picture 4" descr="HTA_colour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A_colour 56"/>
                  <pic:cNvPicPr>
                    <a:picLocks noChangeAspect="1" noChangeArrowheads="1"/>
                  </pic:cNvPicPr>
                </pic:nvPicPr>
                <pic:blipFill>
                  <a:blip r:embed="rId4"/>
                  <a:srcRect/>
                  <a:stretch>
                    <a:fillRect/>
                  </a:stretch>
                </pic:blipFill>
                <pic:spPr bwMode="auto">
                  <a:xfrm>
                    <a:off x="0" y="0"/>
                    <a:ext cx="2019300" cy="609600"/>
                  </a:xfrm>
                  <a:prstGeom prst="rect">
                    <a:avLst/>
                  </a:prstGeom>
                  <a:noFill/>
                  <a:ln w="9525">
                    <a:noFill/>
                    <a:miter lim="800000"/>
                    <a:headEnd/>
                    <a:tailEnd/>
                  </a:ln>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AEDC" w14:textId="77777777" w:rsidR="0050392A" w:rsidRDefault="0050392A">
      <w:r>
        <w:separator/>
      </w:r>
    </w:p>
  </w:footnote>
  <w:footnote w:type="continuationSeparator" w:id="0">
    <w:p w14:paraId="47A05429" w14:textId="77777777" w:rsidR="0050392A" w:rsidRDefault="0050392A">
      <w:r>
        <w:continuationSeparator/>
      </w:r>
    </w:p>
  </w:footnote>
  <w:footnote w:type="continuationNotice" w:id="1">
    <w:p w14:paraId="0C3E5A3A" w14:textId="77777777" w:rsidR="0050392A" w:rsidRDefault="00503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FEA1" w14:textId="3668A1BC" w:rsidR="00B0551F" w:rsidRDefault="00B116E5">
    <w:pPr>
      <w:pStyle w:val="Filename"/>
    </w:pPr>
    <w:r>
      <w:rPr>
        <w:noProof/>
      </w:rPr>
      <w:drawing>
        <wp:anchor distT="0" distB="0" distL="114300" distR="114300" simplePos="0" relativeHeight="251658242" behindDoc="0" locked="1" layoutInCell="1" allowOverlap="1" wp14:anchorId="67118383" wp14:editId="74735957">
          <wp:simplePos x="0" y="0"/>
          <wp:positionH relativeFrom="page">
            <wp:posOffset>4999355</wp:posOffset>
          </wp:positionH>
          <wp:positionV relativeFrom="margin">
            <wp:posOffset>-811530</wp:posOffset>
          </wp:positionV>
          <wp:extent cx="2019300" cy="609600"/>
          <wp:effectExtent l="0" t="0" r="0" b="0"/>
          <wp:wrapNone/>
          <wp:docPr id="5" name="Picture 5" descr="HTA_colour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A_colour 56"/>
                  <pic:cNvPicPr>
                    <a:picLocks noChangeAspect="1" noChangeArrowheads="1"/>
                  </pic:cNvPicPr>
                </pic:nvPicPr>
                <pic:blipFill>
                  <a:blip r:embed="rId1"/>
                  <a:srcRect/>
                  <a:stretch>
                    <a:fillRect/>
                  </a:stretch>
                </pic:blipFill>
                <pic:spPr bwMode="auto">
                  <a:xfrm>
                    <a:off x="0" y="0"/>
                    <a:ext cx="2019300" cy="609600"/>
                  </a:xfrm>
                  <a:prstGeom prst="rect">
                    <a:avLst/>
                  </a:prstGeom>
                  <a:noFill/>
                  <a:ln w="9525">
                    <a:noFill/>
                    <a:miter lim="800000"/>
                    <a:headEnd/>
                    <a:tailEnd/>
                  </a:ln>
                </pic:spPr>
              </pic:pic>
            </a:graphicData>
          </a:graphic>
        </wp:anchor>
      </w:drawing>
    </w:r>
  </w:p>
  <w:p w14:paraId="54452BCC" w14:textId="77777777" w:rsidR="00B0551F" w:rsidRDefault="00B0551F">
    <w:pPr>
      <w:pStyle w:val="Filename"/>
    </w:pPr>
  </w:p>
  <w:p w14:paraId="0C32D307" w14:textId="77777777" w:rsidR="00B116E5" w:rsidRDefault="00B116E5">
    <w:pPr>
      <w:pStyle w:val="Filename"/>
    </w:pPr>
  </w:p>
  <w:p w14:paraId="3C00BCC9" w14:textId="77777777" w:rsidR="00B0551F" w:rsidRDefault="00B0551F">
    <w:pPr>
      <w:pStyle w:val="Header"/>
    </w:pPr>
  </w:p>
  <w:p w14:paraId="035745C3" w14:textId="77777777" w:rsidR="006A2EF2" w:rsidRDefault="006A2E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3342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447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7AB4D9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385414"/>
    <w:multiLevelType w:val="multilevel"/>
    <w:tmpl w:val="7CD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D5626"/>
    <w:multiLevelType w:val="hybridMultilevel"/>
    <w:tmpl w:val="5914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30C35"/>
    <w:multiLevelType w:val="hybridMultilevel"/>
    <w:tmpl w:val="F044FE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E103E97"/>
    <w:multiLevelType w:val="hybridMultilevel"/>
    <w:tmpl w:val="AE0C9B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F402F"/>
    <w:multiLevelType w:val="hybridMultilevel"/>
    <w:tmpl w:val="EC505306"/>
    <w:lvl w:ilvl="0" w:tplc="E6E0A96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1095D"/>
    <w:multiLevelType w:val="hybridMultilevel"/>
    <w:tmpl w:val="C334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0615A"/>
    <w:multiLevelType w:val="hybridMultilevel"/>
    <w:tmpl w:val="7C622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061F20"/>
    <w:multiLevelType w:val="hybridMultilevel"/>
    <w:tmpl w:val="845C2D22"/>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7451C"/>
    <w:multiLevelType w:val="hybridMultilevel"/>
    <w:tmpl w:val="20C4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A56AD"/>
    <w:multiLevelType w:val="hybridMultilevel"/>
    <w:tmpl w:val="F08A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0681A"/>
    <w:multiLevelType w:val="hybridMultilevel"/>
    <w:tmpl w:val="3D623D9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05816"/>
    <w:multiLevelType w:val="hybridMultilevel"/>
    <w:tmpl w:val="0D027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F47FA"/>
    <w:multiLevelType w:val="hybridMultilevel"/>
    <w:tmpl w:val="7A5EC614"/>
    <w:lvl w:ilvl="0" w:tplc="E6E0A96E">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971FC"/>
    <w:multiLevelType w:val="hybridMultilevel"/>
    <w:tmpl w:val="12F80E90"/>
    <w:lvl w:ilvl="0" w:tplc="A12ED9B8">
      <w:start w:val="1"/>
      <w:numFmt w:val="bullet"/>
      <w:pStyle w:val="ListBullet"/>
      <w:lvlText w:val=""/>
      <w:lvlJc w:val="left"/>
      <w:pPr>
        <w:tabs>
          <w:tab w:val="num" w:pos="360"/>
        </w:tabs>
        <w:ind w:left="170" w:hanging="170"/>
      </w:pPr>
      <w:rPr>
        <w:rFonts w:ascii="Symbol" w:hAnsi="Symbol" w:hint="default"/>
        <w:color w:val="86B0B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D486F"/>
    <w:multiLevelType w:val="hybridMultilevel"/>
    <w:tmpl w:val="0D68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40DEE"/>
    <w:multiLevelType w:val="hybridMultilevel"/>
    <w:tmpl w:val="1464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B22154"/>
    <w:multiLevelType w:val="hybridMultilevel"/>
    <w:tmpl w:val="9BF24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BB49A4"/>
    <w:multiLevelType w:val="hybridMultilevel"/>
    <w:tmpl w:val="D53AD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11287B"/>
    <w:multiLevelType w:val="hybridMultilevel"/>
    <w:tmpl w:val="5A1E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C59D8"/>
    <w:multiLevelType w:val="hybridMultilevel"/>
    <w:tmpl w:val="6692545E"/>
    <w:lvl w:ilvl="0" w:tplc="F88A6E22">
      <w:start w:val="1"/>
      <w:numFmt w:val="decimal"/>
      <w:lvlText w:val="%1."/>
      <w:lvlJc w:val="left"/>
      <w:pPr>
        <w:ind w:left="2160" w:hanging="720"/>
      </w:pPr>
      <w:rPr>
        <w:rFonts w:ascii="Arial" w:eastAsiaTheme="minorHAnsi"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4391D51"/>
    <w:multiLevelType w:val="hybridMultilevel"/>
    <w:tmpl w:val="EA345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F45A29"/>
    <w:multiLevelType w:val="hybridMultilevel"/>
    <w:tmpl w:val="4EA6C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D633DD"/>
    <w:multiLevelType w:val="hybridMultilevel"/>
    <w:tmpl w:val="D938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B9145B"/>
    <w:multiLevelType w:val="hybridMultilevel"/>
    <w:tmpl w:val="52C8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E6463"/>
    <w:multiLevelType w:val="hybridMultilevel"/>
    <w:tmpl w:val="DB66776E"/>
    <w:lvl w:ilvl="0" w:tplc="E6E0A96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B50BA"/>
    <w:multiLevelType w:val="hybridMultilevel"/>
    <w:tmpl w:val="7340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BE429B"/>
    <w:multiLevelType w:val="hybridMultilevel"/>
    <w:tmpl w:val="50B0EACE"/>
    <w:lvl w:ilvl="0" w:tplc="E6E0A96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51347"/>
    <w:multiLevelType w:val="hybridMultilevel"/>
    <w:tmpl w:val="87D2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4696E"/>
    <w:multiLevelType w:val="hybridMultilevel"/>
    <w:tmpl w:val="EB7A5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F74ADE"/>
    <w:multiLevelType w:val="hybridMultilevel"/>
    <w:tmpl w:val="BBE0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B1492"/>
    <w:multiLevelType w:val="hybridMultilevel"/>
    <w:tmpl w:val="2E5E14F4"/>
    <w:lvl w:ilvl="0" w:tplc="E6E0A96E">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FB7640"/>
    <w:multiLevelType w:val="hybridMultilevel"/>
    <w:tmpl w:val="71C6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50101"/>
    <w:multiLevelType w:val="hybridMultilevel"/>
    <w:tmpl w:val="74DEF292"/>
    <w:lvl w:ilvl="0" w:tplc="08090001">
      <w:start w:val="1"/>
      <w:numFmt w:val="bullet"/>
      <w:lvlText w:val=""/>
      <w:lvlJc w:val="left"/>
      <w:pPr>
        <w:ind w:left="1080" w:hanging="720"/>
      </w:pPr>
      <w:rPr>
        <w:rFonts w:ascii="Symbol" w:hAnsi="Symbol" w:hint="default"/>
      </w:rPr>
    </w:lvl>
    <w:lvl w:ilvl="1" w:tplc="7E86511C">
      <w:start w:val="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01DED"/>
    <w:multiLevelType w:val="hybridMultilevel"/>
    <w:tmpl w:val="1CC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406BD"/>
    <w:multiLevelType w:val="hybridMultilevel"/>
    <w:tmpl w:val="5948AD8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10B7B"/>
    <w:multiLevelType w:val="hybridMultilevel"/>
    <w:tmpl w:val="196488A8"/>
    <w:lvl w:ilvl="0" w:tplc="F664E4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147406"/>
    <w:multiLevelType w:val="hybridMultilevel"/>
    <w:tmpl w:val="C1EE3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3C382F"/>
    <w:multiLevelType w:val="hybridMultilevel"/>
    <w:tmpl w:val="2A206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C1ED9"/>
    <w:multiLevelType w:val="hybridMultilevel"/>
    <w:tmpl w:val="51548082"/>
    <w:lvl w:ilvl="0" w:tplc="E6E0A96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92169C"/>
    <w:multiLevelType w:val="hybridMultilevel"/>
    <w:tmpl w:val="7A465C32"/>
    <w:lvl w:ilvl="0" w:tplc="584CD972">
      <w:start w:val="3"/>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73B97"/>
    <w:multiLevelType w:val="hybridMultilevel"/>
    <w:tmpl w:val="9B90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C7BB7"/>
    <w:multiLevelType w:val="hybridMultilevel"/>
    <w:tmpl w:val="B700EE74"/>
    <w:lvl w:ilvl="0" w:tplc="E6E0A96E">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4440CC"/>
    <w:multiLevelType w:val="hybridMultilevel"/>
    <w:tmpl w:val="33C09972"/>
    <w:lvl w:ilvl="0" w:tplc="E6E0A96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736060"/>
    <w:multiLevelType w:val="hybridMultilevel"/>
    <w:tmpl w:val="3946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DA22F3"/>
    <w:multiLevelType w:val="hybridMultilevel"/>
    <w:tmpl w:val="FB02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4D6B1A"/>
    <w:multiLevelType w:val="hybridMultilevel"/>
    <w:tmpl w:val="6B88BC4C"/>
    <w:lvl w:ilvl="0" w:tplc="665069B8">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B57076C"/>
    <w:multiLevelType w:val="hybridMultilevel"/>
    <w:tmpl w:val="BB7297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325629172">
    <w:abstractNumId w:val="2"/>
  </w:num>
  <w:num w:numId="2" w16cid:durableId="1709329023">
    <w:abstractNumId w:val="16"/>
  </w:num>
  <w:num w:numId="3" w16cid:durableId="1196312346">
    <w:abstractNumId w:val="25"/>
  </w:num>
  <w:num w:numId="4" w16cid:durableId="1201552714">
    <w:abstractNumId w:val="29"/>
  </w:num>
  <w:num w:numId="5" w16cid:durableId="1983269816">
    <w:abstractNumId w:val="7"/>
  </w:num>
  <w:num w:numId="6" w16cid:durableId="159397588">
    <w:abstractNumId w:val="41"/>
  </w:num>
  <w:num w:numId="7" w16cid:durableId="1525901454">
    <w:abstractNumId w:val="27"/>
  </w:num>
  <w:num w:numId="8" w16cid:durableId="2008559005">
    <w:abstractNumId w:val="13"/>
  </w:num>
  <w:num w:numId="9" w16cid:durableId="224879981">
    <w:abstractNumId w:val="46"/>
  </w:num>
  <w:num w:numId="10" w16cid:durableId="729113806">
    <w:abstractNumId w:val="21"/>
  </w:num>
  <w:num w:numId="11" w16cid:durableId="1186212283">
    <w:abstractNumId w:val="24"/>
  </w:num>
  <w:num w:numId="12" w16cid:durableId="1665206415">
    <w:abstractNumId w:val="38"/>
  </w:num>
  <w:num w:numId="13" w16cid:durableId="657613100">
    <w:abstractNumId w:val="30"/>
  </w:num>
  <w:num w:numId="14" w16cid:durableId="147671744">
    <w:abstractNumId w:val="15"/>
  </w:num>
  <w:num w:numId="15" w16cid:durableId="817304637">
    <w:abstractNumId w:val="45"/>
  </w:num>
  <w:num w:numId="16" w16cid:durableId="2047480395">
    <w:abstractNumId w:val="22"/>
  </w:num>
  <w:num w:numId="17" w16cid:durableId="1719285106">
    <w:abstractNumId w:val="34"/>
  </w:num>
  <w:num w:numId="18" w16cid:durableId="1700544111">
    <w:abstractNumId w:val="44"/>
  </w:num>
  <w:num w:numId="19" w16cid:durableId="1546020376">
    <w:abstractNumId w:val="6"/>
  </w:num>
  <w:num w:numId="20" w16cid:durableId="247616941">
    <w:abstractNumId w:val="43"/>
  </w:num>
  <w:num w:numId="21" w16cid:durableId="362679363">
    <w:abstractNumId w:val="33"/>
  </w:num>
  <w:num w:numId="22" w16cid:durableId="773088235">
    <w:abstractNumId w:val="37"/>
  </w:num>
  <w:num w:numId="23" w16cid:durableId="1782333606">
    <w:abstractNumId w:val="47"/>
  </w:num>
  <w:num w:numId="24" w16cid:durableId="244340195">
    <w:abstractNumId w:val="35"/>
  </w:num>
  <w:num w:numId="25" w16cid:durableId="1358584791">
    <w:abstractNumId w:val="23"/>
  </w:num>
  <w:num w:numId="26" w16cid:durableId="1508985004">
    <w:abstractNumId w:val="39"/>
  </w:num>
  <w:num w:numId="27" w16cid:durableId="1935742186">
    <w:abstractNumId w:val="40"/>
  </w:num>
  <w:num w:numId="28" w16cid:durableId="511574455">
    <w:abstractNumId w:val="26"/>
  </w:num>
  <w:num w:numId="29" w16cid:durableId="1363900191">
    <w:abstractNumId w:val="10"/>
  </w:num>
  <w:num w:numId="30" w16cid:durableId="1800877464">
    <w:abstractNumId w:val="19"/>
  </w:num>
  <w:num w:numId="31" w16cid:durableId="1285117544">
    <w:abstractNumId w:val="31"/>
  </w:num>
  <w:num w:numId="32" w16cid:durableId="1077627865">
    <w:abstractNumId w:val="28"/>
  </w:num>
  <w:num w:numId="33" w16cid:durableId="539048664">
    <w:abstractNumId w:val="48"/>
  </w:num>
  <w:num w:numId="34" w16cid:durableId="1793211917">
    <w:abstractNumId w:val="12"/>
  </w:num>
  <w:num w:numId="35" w16cid:durableId="1262297302">
    <w:abstractNumId w:val="5"/>
  </w:num>
  <w:num w:numId="36" w16cid:durableId="576600409">
    <w:abstractNumId w:val="49"/>
  </w:num>
  <w:num w:numId="37" w16cid:durableId="50471777">
    <w:abstractNumId w:val="20"/>
  </w:num>
  <w:num w:numId="38" w16cid:durableId="2078697259">
    <w:abstractNumId w:val="32"/>
  </w:num>
  <w:num w:numId="39" w16cid:durableId="253052876">
    <w:abstractNumId w:val="8"/>
  </w:num>
  <w:num w:numId="40" w16cid:durableId="614793881">
    <w:abstractNumId w:val="11"/>
  </w:num>
  <w:num w:numId="41" w16cid:durableId="852259464">
    <w:abstractNumId w:val="3"/>
  </w:num>
  <w:num w:numId="42" w16cid:durableId="147018762">
    <w:abstractNumId w:val="9"/>
  </w:num>
  <w:num w:numId="43" w16cid:durableId="213085902">
    <w:abstractNumId w:val="0"/>
  </w:num>
  <w:num w:numId="44" w16cid:durableId="1559052579">
    <w:abstractNumId w:val="4"/>
  </w:num>
  <w:num w:numId="45" w16cid:durableId="614793569">
    <w:abstractNumId w:val="17"/>
  </w:num>
  <w:num w:numId="46" w16cid:durableId="2074888781">
    <w:abstractNumId w:val="18"/>
  </w:num>
  <w:num w:numId="47" w16cid:durableId="1386370264">
    <w:abstractNumId w:val="1"/>
  </w:num>
  <w:num w:numId="48" w16cid:durableId="4795225">
    <w:abstractNumId w:val="14"/>
  </w:num>
  <w:num w:numId="49" w16cid:durableId="1988195407">
    <w:abstractNumId w:val="36"/>
  </w:num>
  <w:num w:numId="50" w16cid:durableId="15651414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2A"/>
    <w:rsid w:val="00017F71"/>
    <w:rsid w:val="000214D5"/>
    <w:rsid w:val="00026049"/>
    <w:rsid w:val="000274D1"/>
    <w:rsid w:val="00031099"/>
    <w:rsid w:val="00037DF5"/>
    <w:rsid w:val="00043B2F"/>
    <w:rsid w:val="00044618"/>
    <w:rsid w:val="00052E43"/>
    <w:rsid w:val="00053F93"/>
    <w:rsid w:val="000541FA"/>
    <w:rsid w:val="00060980"/>
    <w:rsid w:val="00063AF2"/>
    <w:rsid w:val="00063F67"/>
    <w:rsid w:val="000655B3"/>
    <w:rsid w:val="00073D6C"/>
    <w:rsid w:val="000742F8"/>
    <w:rsid w:val="000847FB"/>
    <w:rsid w:val="0009660F"/>
    <w:rsid w:val="000B0533"/>
    <w:rsid w:val="000B17F7"/>
    <w:rsid w:val="000B2388"/>
    <w:rsid w:val="000B2C38"/>
    <w:rsid w:val="000C5419"/>
    <w:rsid w:val="000C751E"/>
    <w:rsid w:val="000C7EE5"/>
    <w:rsid w:val="000D0460"/>
    <w:rsid w:val="000D3C78"/>
    <w:rsid w:val="000D7949"/>
    <w:rsid w:val="000E24D8"/>
    <w:rsid w:val="000F0818"/>
    <w:rsid w:val="000F336F"/>
    <w:rsid w:val="0010293A"/>
    <w:rsid w:val="00102E5B"/>
    <w:rsid w:val="00103F75"/>
    <w:rsid w:val="001061FC"/>
    <w:rsid w:val="001072A4"/>
    <w:rsid w:val="00110BF2"/>
    <w:rsid w:val="00122DAD"/>
    <w:rsid w:val="001272B0"/>
    <w:rsid w:val="001349B4"/>
    <w:rsid w:val="00134C04"/>
    <w:rsid w:val="00153216"/>
    <w:rsid w:val="001542E8"/>
    <w:rsid w:val="00157732"/>
    <w:rsid w:val="001602B1"/>
    <w:rsid w:val="00164317"/>
    <w:rsid w:val="00166EAB"/>
    <w:rsid w:val="00172420"/>
    <w:rsid w:val="00175FAF"/>
    <w:rsid w:val="001872E6"/>
    <w:rsid w:val="001877C0"/>
    <w:rsid w:val="001977E8"/>
    <w:rsid w:val="001A1223"/>
    <w:rsid w:val="001A2F68"/>
    <w:rsid w:val="001A42D7"/>
    <w:rsid w:val="001A4D65"/>
    <w:rsid w:val="001B0553"/>
    <w:rsid w:val="001B2E89"/>
    <w:rsid w:val="001B4DA7"/>
    <w:rsid w:val="001B58F0"/>
    <w:rsid w:val="001B61D5"/>
    <w:rsid w:val="001C0017"/>
    <w:rsid w:val="001C239B"/>
    <w:rsid w:val="001D0B7B"/>
    <w:rsid w:val="001D5A23"/>
    <w:rsid w:val="001D7338"/>
    <w:rsid w:val="001E440C"/>
    <w:rsid w:val="001E7F45"/>
    <w:rsid w:val="001F02C1"/>
    <w:rsid w:val="00201932"/>
    <w:rsid w:val="00203F11"/>
    <w:rsid w:val="002043C7"/>
    <w:rsid w:val="00210714"/>
    <w:rsid w:val="00215E44"/>
    <w:rsid w:val="00226EBF"/>
    <w:rsid w:val="00232559"/>
    <w:rsid w:val="00240CA4"/>
    <w:rsid w:val="00246ABB"/>
    <w:rsid w:val="00246B1B"/>
    <w:rsid w:val="0025352A"/>
    <w:rsid w:val="00255401"/>
    <w:rsid w:val="002578D5"/>
    <w:rsid w:val="00263187"/>
    <w:rsid w:val="0026679C"/>
    <w:rsid w:val="002755D7"/>
    <w:rsid w:val="0028676F"/>
    <w:rsid w:val="00287D11"/>
    <w:rsid w:val="00290BBB"/>
    <w:rsid w:val="00292752"/>
    <w:rsid w:val="0029363B"/>
    <w:rsid w:val="002B1E92"/>
    <w:rsid w:val="002B365C"/>
    <w:rsid w:val="002C2C6A"/>
    <w:rsid w:val="002C5694"/>
    <w:rsid w:val="002D256E"/>
    <w:rsid w:val="002D2F0B"/>
    <w:rsid w:val="002D6140"/>
    <w:rsid w:val="002D6AB9"/>
    <w:rsid w:val="002E1EB1"/>
    <w:rsid w:val="002E454F"/>
    <w:rsid w:val="002E4835"/>
    <w:rsid w:val="002E6D2E"/>
    <w:rsid w:val="002F0C95"/>
    <w:rsid w:val="002F17E3"/>
    <w:rsid w:val="002F1B8B"/>
    <w:rsid w:val="002F1BDA"/>
    <w:rsid w:val="002F3F07"/>
    <w:rsid w:val="00304996"/>
    <w:rsid w:val="003204F9"/>
    <w:rsid w:val="0032110E"/>
    <w:rsid w:val="0032336B"/>
    <w:rsid w:val="00323AEA"/>
    <w:rsid w:val="003262AA"/>
    <w:rsid w:val="00330078"/>
    <w:rsid w:val="003317E5"/>
    <w:rsid w:val="00340501"/>
    <w:rsid w:val="0034075D"/>
    <w:rsid w:val="003463D0"/>
    <w:rsid w:val="003508AF"/>
    <w:rsid w:val="003517F3"/>
    <w:rsid w:val="00354CB0"/>
    <w:rsid w:val="00361133"/>
    <w:rsid w:val="00364713"/>
    <w:rsid w:val="00370F8D"/>
    <w:rsid w:val="003757B7"/>
    <w:rsid w:val="00380F06"/>
    <w:rsid w:val="003922CD"/>
    <w:rsid w:val="003935FC"/>
    <w:rsid w:val="003A2271"/>
    <w:rsid w:val="003A251F"/>
    <w:rsid w:val="003B1F52"/>
    <w:rsid w:val="003C06AF"/>
    <w:rsid w:val="003C32FC"/>
    <w:rsid w:val="003D0447"/>
    <w:rsid w:val="003D0D07"/>
    <w:rsid w:val="003E2DA2"/>
    <w:rsid w:val="003E4EBD"/>
    <w:rsid w:val="00403016"/>
    <w:rsid w:val="00410367"/>
    <w:rsid w:val="00412111"/>
    <w:rsid w:val="00412CCE"/>
    <w:rsid w:val="0041420C"/>
    <w:rsid w:val="00422AA0"/>
    <w:rsid w:val="00427B04"/>
    <w:rsid w:val="00430397"/>
    <w:rsid w:val="00436072"/>
    <w:rsid w:val="00436171"/>
    <w:rsid w:val="004439F0"/>
    <w:rsid w:val="0044406A"/>
    <w:rsid w:val="0044715B"/>
    <w:rsid w:val="004524F3"/>
    <w:rsid w:val="0045517A"/>
    <w:rsid w:val="00462D77"/>
    <w:rsid w:val="00465EC0"/>
    <w:rsid w:val="00466485"/>
    <w:rsid w:val="00472A8A"/>
    <w:rsid w:val="00472DF2"/>
    <w:rsid w:val="00482B0E"/>
    <w:rsid w:val="00484CC2"/>
    <w:rsid w:val="004853BF"/>
    <w:rsid w:val="004919C6"/>
    <w:rsid w:val="00491D1A"/>
    <w:rsid w:val="00493F07"/>
    <w:rsid w:val="00496DA3"/>
    <w:rsid w:val="004A07B4"/>
    <w:rsid w:val="004A0ED8"/>
    <w:rsid w:val="004A1E92"/>
    <w:rsid w:val="004A5313"/>
    <w:rsid w:val="004B5D24"/>
    <w:rsid w:val="004C2B97"/>
    <w:rsid w:val="004C3035"/>
    <w:rsid w:val="004C537C"/>
    <w:rsid w:val="004C79CE"/>
    <w:rsid w:val="004D0589"/>
    <w:rsid w:val="004D5EB1"/>
    <w:rsid w:val="004E4C6F"/>
    <w:rsid w:val="004E65D5"/>
    <w:rsid w:val="004E7AA3"/>
    <w:rsid w:val="004F1C8D"/>
    <w:rsid w:val="004F24C6"/>
    <w:rsid w:val="004F3E1C"/>
    <w:rsid w:val="0050392A"/>
    <w:rsid w:val="005049D9"/>
    <w:rsid w:val="00514B20"/>
    <w:rsid w:val="0052508A"/>
    <w:rsid w:val="00526F53"/>
    <w:rsid w:val="0055193E"/>
    <w:rsid w:val="00560949"/>
    <w:rsid w:val="00561B0B"/>
    <w:rsid w:val="00573052"/>
    <w:rsid w:val="00573EED"/>
    <w:rsid w:val="00575743"/>
    <w:rsid w:val="00576B82"/>
    <w:rsid w:val="0057757E"/>
    <w:rsid w:val="00581C1F"/>
    <w:rsid w:val="0059221C"/>
    <w:rsid w:val="00595B1A"/>
    <w:rsid w:val="005A0D61"/>
    <w:rsid w:val="005A3EA4"/>
    <w:rsid w:val="005A474E"/>
    <w:rsid w:val="005B4EBD"/>
    <w:rsid w:val="005B6416"/>
    <w:rsid w:val="005B6C5D"/>
    <w:rsid w:val="005B7AC9"/>
    <w:rsid w:val="005C0288"/>
    <w:rsid w:val="005C275E"/>
    <w:rsid w:val="005C27A7"/>
    <w:rsid w:val="005C3FB8"/>
    <w:rsid w:val="005C4402"/>
    <w:rsid w:val="005D0558"/>
    <w:rsid w:val="005D3A1C"/>
    <w:rsid w:val="005D3E9D"/>
    <w:rsid w:val="005E07A3"/>
    <w:rsid w:val="005E2E7A"/>
    <w:rsid w:val="005E3191"/>
    <w:rsid w:val="005F56AD"/>
    <w:rsid w:val="005F5D74"/>
    <w:rsid w:val="006027BF"/>
    <w:rsid w:val="0061253A"/>
    <w:rsid w:val="006165F3"/>
    <w:rsid w:val="0061673F"/>
    <w:rsid w:val="00616F9D"/>
    <w:rsid w:val="00617399"/>
    <w:rsid w:val="00617A07"/>
    <w:rsid w:val="00622A24"/>
    <w:rsid w:val="0062337B"/>
    <w:rsid w:val="00626603"/>
    <w:rsid w:val="00631915"/>
    <w:rsid w:val="00634F25"/>
    <w:rsid w:val="0064045E"/>
    <w:rsid w:val="006435C6"/>
    <w:rsid w:val="006435F1"/>
    <w:rsid w:val="00646311"/>
    <w:rsid w:val="00650680"/>
    <w:rsid w:val="006649A9"/>
    <w:rsid w:val="0066612F"/>
    <w:rsid w:val="006678AD"/>
    <w:rsid w:val="006708FD"/>
    <w:rsid w:val="006710F2"/>
    <w:rsid w:val="00671E29"/>
    <w:rsid w:val="006720BC"/>
    <w:rsid w:val="006763B5"/>
    <w:rsid w:val="00681403"/>
    <w:rsid w:val="00684E1C"/>
    <w:rsid w:val="00685A0B"/>
    <w:rsid w:val="006862C0"/>
    <w:rsid w:val="00690730"/>
    <w:rsid w:val="00696815"/>
    <w:rsid w:val="0069705E"/>
    <w:rsid w:val="00697FA7"/>
    <w:rsid w:val="006A0629"/>
    <w:rsid w:val="006A0B63"/>
    <w:rsid w:val="006A28DA"/>
    <w:rsid w:val="006A2EF2"/>
    <w:rsid w:val="006A4C75"/>
    <w:rsid w:val="006A5096"/>
    <w:rsid w:val="006A50A1"/>
    <w:rsid w:val="006A51A7"/>
    <w:rsid w:val="006B0176"/>
    <w:rsid w:val="006B269D"/>
    <w:rsid w:val="006B5C37"/>
    <w:rsid w:val="006B65BA"/>
    <w:rsid w:val="006C245F"/>
    <w:rsid w:val="006C490B"/>
    <w:rsid w:val="006E34A4"/>
    <w:rsid w:val="006E5986"/>
    <w:rsid w:val="006E6815"/>
    <w:rsid w:val="006E6C43"/>
    <w:rsid w:val="006F1109"/>
    <w:rsid w:val="006F119A"/>
    <w:rsid w:val="006F1C46"/>
    <w:rsid w:val="006F734D"/>
    <w:rsid w:val="0070221B"/>
    <w:rsid w:val="0071105C"/>
    <w:rsid w:val="007129D0"/>
    <w:rsid w:val="00712E8E"/>
    <w:rsid w:val="00714E45"/>
    <w:rsid w:val="007172C7"/>
    <w:rsid w:val="00721563"/>
    <w:rsid w:val="00734C18"/>
    <w:rsid w:val="00744374"/>
    <w:rsid w:val="0074669C"/>
    <w:rsid w:val="00752146"/>
    <w:rsid w:val="00756881"/>
    <w:rsid w:val="00761167"/>
    <w:rsid w:val="00761586"/>
    <w:rsid w:val="007649F3"/>
    <w:rsid w:val="00770613"/>
    <w:rsid w:val="00772880"/>
    <w:rsid w:val="0077661E"/>
    <w:rsid w:val="00782BA0"/>
    <w:rsid w:val="007835F5"/>
    <w:rsid w:val="00783BAA"/>
    <w:rsid w:val="00783CF8"/>
    <w:rsid w:val="0078478F"/>
    <w:rsid w:val="00785D11"/>
    <w:rsid w:val="007862B1"/>
    <w:rsid w:val="00790D4E"/>
    <w:rsid w:val="0079281F"/>
    <w:rsid w:val="00797455"/>
    <w:rsid w:val="007A036A"/>
    <w:rsid w:val="007A03DC"/>
    <w:rsid w:val="007A438A"/>
    <w:rsid w:val="007A6AD0"/>
    <w:rsid w:val="007A6F18"/>
    <w:rsid w:val="007B09FC"/>
    <w:rsid w:val="007B1F3C"/>
    <w:rsid w:val="007B5C9A"/>
    <w:rsid w:val="007B6D60"/>
    <w:rsid w:val="007C0E8C"/>
    <w:rsid w:val="007C7CB3"/>
    <w:rsid w:val="007D1338"/>
    <w:rsid w:val="007D7136"/>
    <w:rsid w:val="007E5E44"/>
    <w:rsid w:val="007F1ABA"/>
    <w:rsid w:val="007F58C6"/>
    <w:rsid w:val="00801D0E"/>
    <w:rsid w:val="00806300"/>
    <w:rsid w:val="00806F0D"/>
    <w:rsid w:val="008108D0"/>
    <w:rsid w:val="008109EA"/>
    <w:rsid w:val="00811BD2"/>
    <w:rsid w:val="0081783C"/>
    <w:rsid w:val="008206F7"/>
    <w:rsid w:val="0082286D"/>
    <w:rsid w:val="00833E63"/>
    <w:rsid w:val="008344C4"/>
    <w:rsid w:val="00834576"/>
    <w:rsid w:val="00836859"/>
    <w:rsid w:val="008428FE"/>
    <w:rsid w:val="00852C18"/>
    <w:rsid w:val="0085441E"/>
    <w:rsid w:val="0086129A"/>
    <w:rsid w:val="00861EE2"/>
    <w:rsid w:val="00862CF2"/>
    <w:rsid w:val="00863DC3"/>
    <w:rsid w:val="008672ED"/>
    <w:rsid w:val="00870EA2"/>
    <w:rsid w:val="0087442C"/>
    <w:rsid w:val="0088244C"/>
    <w:rsid w:val="0088274B"/>
    <w:rsid w:val="008849C8"/>
    <w:rsid w:val="008A0934"/>
    <w:rsid w:val="008A787D"/>
    <w:rsid w:val="008B308A"/>
    <w:rsid w:val="008B3A54"/>
    <w:rsid w:val="008B61B7"/>
    <w:rsid w:val="008C147B"/>
    <w:rsid w:val="008C2D49"/>
    <w:rsid w:val="008C360A"/>
    <w:rsid w:val="008C5168"/>
    <w:rsid w:val="008C5B59"/>
    <w:rsid w:val="008D38FF"/>
    <w:rsid w:val="008D6749"/>
    <w:rsid w:val="008E15B4"/>
    <w:rsid w:val="008F0BCA"/>
    <w:rsid w:val="008F157B"/>
    <w:rsid w:val="00903AFD"/>
    <w:rsid w:val="00906DB9"/>
    <w:rsid w:val="00912812"/>
    <w:rsid w:val="0091421F"/>
    <w:rsid w:val="00916E66"/>
    <w:rsid w:val="009200CB"/>
    <w:rsid w:val="009204C6"/>
    <w:rsid w:val="0092387B"/>
    <w:rsid w:val="0093455E"/>
    <w:rsid w:val="009354E7"/>
    <w:rsid w:val="00941A10"/>
    <w:rsid w:val="00944734"/>
    <w:rsid w:val="00946174"/>
    <w:rsid w:val="00954719"/>
    <w:rsid w:val="009616D4"/>
    <w:rsid w:val="00967450"/>
    <w:rsid w:val="009711FF"/>
    <w:rsid w:val="009716F8"/>
    <w:rsid w:val="00971871"/>
    <w:rsid w:val="009733BF"/>
    <w:rsid w:val="00973622"/>
    <w:rsid w:val="0097688A"/>
    <w:rsid w:val="009769FF"/>
    <w:rsid w:val="00981C6E"/>
    <w:rsid w:val="0098211B"/>
    <w:rsid w:val="00983362"/>
    <w:rsid w:val="009857C8"/>
    <w:rsid w:val="00985A38"/>
    <w:rsid w:val="00986151"/>
    <w:rsid w:val="009870DB"/>
    <w:rsid w:val="00987383"/>
    <w:rsid w:val="009900D5"/>
    <w:rsid w:val="00992B24"/>
    <w:rsid w:val="0099319E"/>
    <w:rsid w:val="00994862"/>
    <w:rsid w:val="009A1463"/>
    <w:rsid w:val="009A706F"/>
    <w:rsid w:val="009A742E"/>
    <w:rsid w:val="009B094C"/>
    <w:rsid w:val="009B2FF0"/>
    <w:rsid w:val="009B37D7"/>
    <w:rsid w:val="009B446E"/>
    <w:rsid w:val="009B471B"/>
    <w:rsid w:val="009B7303"/>
    <w:rsid w:val="009C6862"/>
    <w:rsid w:val="009D311B"/>
    <w:rsid w:val="009E041C"/>
    <w:rsid w:val="009E253F"/>
    <w:rsid w:val="009E613B"/>
    <w:rsid w:val="009E7620"/>
    <w:rsid w:val="009F5E98"/>
    <w:rsid w:val="009F74B9"/>
    <w:rsid w:val="00A00DF9"/>
    <w:rsid w:val="00A02B16"/>
    <w:rsid w:val="00A04E68"/>
    <w:rsid w:val="00A13E59"/>
    <w:rsid w:val="00A1672D"/>
    <w:rsid w:val="00A16F1A"/>
    <w:rsid w:val="00A17673"/>
    <w:rsid w:val="00A2127D"/>
    <w:rsid w:val="00A232B2"/>
    <w:rsid w:val="00A26219"/>
    <w:rsid w:val="00A31A90"/>
    <w:rsid w:val="00A33EE0"/>
    <w:rsid w:val="00A33F87"/>
    <w:rsid w:val="00A34838"/>
    <w:rsid w:val="00A3490D"/>
    <w:rsid w:val="00A3584C"/>
    <w:rsid w:val="00A47D26"/>
    <w:rsid w:val="00A53262"/>
    <w:rsid w:val="00A554B9"/>
    <w:rsid w:val="00A577B9"/>
    <w:rsid w:val="00A5784F"/>
    <w:rsid w:val="00A61529"/>
    <w:rsid w:val="00A61F1C"/>
    <w:rsid w:val="00A628C8"/>
    <w:rsid w:val="00A70069"/>
    <w:rsid w:val="00A7100C"/>
    <w:rsid w:val="00A822D3"/>
    <w:rsid w:val="00A91080"/>
    <w:rsid w:val="00A93F74"/>
    <w:rsid w:val="00A93FCD"/>
    <w:rsid w:val="00A94CAD"/>
    <w:rsid w:val="00A9586F"/>
    <w:rsid w:val="00A964EC"/>
    <w:rsid w:val="00A96E13"/>
    <w:rsid w:val="00AA7898"/>
    <w:rsid w:val="00AB36B7"/>
    <w:rsid w:val="00AB57A9"/>
    <w:rsid w:val="00AB654D"/>
    <w:rsid w:val="00AB6611"/>
    <w:rsid w:val="00AC4929"/>
    <w:rsid w:val="00AC5B48"/>
    <w:rsid w:val="00AD0A68"/>
    <w:rsid w:val="00AD1231"/>
    <w:rsid w:val="00AD32DF"/>
    <w:rsid w:val="00AD3A14"/>
    <w:rsid w:val="00AD46DF"/>
    <w:rsid w:val="00AD6B60"/>
    <w:rsid w:val="00AE4F93"/>
    <w:rsid w:val="00AE71CE"/>
    <w:rsid w:val="00AF052A"/>
    <w:rsid w:val="00AF5C87"/>
    <w:rsid w:val="00B00B57"/>
    <w:rsid w:val="00B02AB2"/>
    <w:rsid w:val="00B038F0"/>
    <w:rsid w:val="00B04955"/>
    <w:rsid w:val="00B05225"/>
    <w:rsid w:val="00B0551F"/>
    <w:rsid w:val="00B0590A"/>
    <w:rsid w:val="00B102DD"/>
    <w:rsid w:val="00B116E5"/>
    <w:rsid w:val="00B15596"/>
    <w:rsid w:val="00B23888"/>
    <w:rsid w:val="00B23A1C"/>
    <w:rsid w:val="00B31CA3"/>
    <w:rsid w:val="00B35CC1"/>
    <w:rsid w:val="00B43AC8"/>
    <w:rsid w:val="00B5119D"/>
    <w:rsid w:val="00B51845"/>
    <w:rsid w:val="00B606BE"/>
    <w:rsid w:val="00B643EB"/>
    <w:rsid w:val="00B72D93"/>
    <w:rsid w:val="00B74673"/>
    <w:rsid w:val="00B8171E"/>
    <w:rsid w:val="00B828DB"/>
    <w:rsid w:val="00B85B12"/>
    <w:rsid w:val="00B87091"/>
    <w:rsid w:val="00B87E67"/>
    <w:rsid w:val="00B90BC3"/>
    <w:rsid w:val="00B91DD9"/>
    <w:rsid w:val="00B92411"/>
    <w:rsid w:val="00B92ECE"/>
    <w:rsid w:val="00BA3AEF"/>
    <w:rsid w:val="00BA4C5F"/>
    <w:rsid w:val="00BB200C"/>
    <w:rsid w:val="00BB3761"/>
    <w:rsid w:val="00BB62F8"/>
    <w:rsid w:val="00BB6E58"/>
    <w:rsid w:val="00BB72C2"/>
    <w:rsid w:val="00BD00B8"/>
    <w:rsid w:val="00BD716B"/>
    <w:rsid w:val="00BD718D"/>
    <w:rsid w:val="00BE07DE"/>
    <w:rsid w:val="00BE1000"/>
    <w:rsid w:val="00BE17FB"/>
    <w:rsid w:val="00BE2045"/>
    <w:rsid w:val="00BE28E3"/>
    <w:rsid w:val="00BE4E22"/>
    <w:rsid w:val="00BE6FFE"/>
    <w:rsid w:val="00BF066C"/>
    <w:rsid w:val="00BF0687"/>
    <w:rsid w:val="00BF093D"/>
    <w:rsid w:val="00BF67B8"/>
    <w:rsid w:val="00C071E2"/>
    <w:rsid w:val="00C122B2"/>
    <w:rsid w:val="00C155B6"/>
    <w:rsid w:val="00C1739F"/>
    <w:rsid w:val="00C22289"/>
    <w:rsid w:val="00C339F7"/>
    <w:rsid w:val="00C51498"/>
    <w:rsid w:val="00C54105"/>
    <w:rsid w:val="00C56A48"/>
    <w:rsid w:val="00C574A7"/>
    <w:rsid w:val="00C616F5"/>
    <w:rsid w:val="00C64A88"/>
    <w:rsid w:val="00C72384"/>
    <w:rsid w:val="00C74320"/>
    <w:rsid w:val="00C75915"/>
    <w:rsid w:val="00C812A9"/>
    <w:rsid w:val="00C85DB4"/>
    <w:rsid w:val="00C90566"/>
    <w:rsid w:val="00C92963"/>
    <w:rsid w:val="00CA07F7"/>
    <w:rsid w:val="00CA0DBE"/>
    <w:rsid w:val="00CB7C76"/>
    <w:rsid w:val="00CC0872"/>
    <w:rsid w:val="00CC1689"/>
    <w:rsid w:val="00CC2166"/>
    <w:rsid w:val="00CC38DE"/>
    <w:rsid w:val="00CC7E6B"/>
    <w:rsid w:val="00CD31A7"/>
    <w:rsid w:val="00CD6B2A"/>
    <w:rsid w:val="00CE29C8"/>
    <w:rsid w:val="00CE7460"/>
    <w:rsid w:val="00CF094E"/>
    <w:rsid w:val="00CF22E1"/>
    <w:rsid w:val="00CF5AF0"/>
    <w:rsid w:val="00CF63E0"/>
    <w:rsid w:val="00CF6B46"/>
    <w:rsid w:val="00D00089"/>
    <w:rsid w:val="00D003C5"/>
    <w:rsid w:val="00D10EA2"/>
    <w:rsid w:val="00D12EA9"/>
    <w:rsid w:val="00D170F2"/>
    <w:rsid w:val="00D17E6D"/>
    <w:rsid w:val="00D46A04"/>
    <w:rsid w:val="00D47D01"/>
    <w:rsid w:val="00D51196"/>
    <w:rsid w:val="00D5144A"/>
    <w:rsid w:val="00D5595F"/>
    <w:rsid w:val="00D61020"/>
    <w:rsid w:val="00D61AA1"/>
    <w:rsid w:val="00D63535"/>
    <w:rsid w:val="00D645E7"/>
    <w:rsid w:val="00D70D6E"/>
    <w:rsid w:val="00D70FE8"/>
    <w:rsid w:val="00D71206"/>
    <w:rsid w:val="00D73121"/>
    <w:rsid w:val="00D73A4B"/>
    <w:rsid w:val="00D76301"/>
    <w:rsid w:val="00D80402"/>
    <w:rsid w:val="00D84AA0"/>
    <w:rsid w:val="00D8742C"/>
    <w:rsid w:val="00D93398"/>
    <w:rsid w:val="00DA1865"/>
    <w:rsid w:val="00DA2593"/>
    <w:rsid w:val="00DB033B"/>
    <w:rsid w:val="00DB0D69"/>
    <w:rsid w:val="00DB1E31"/>
    <w:rsid w:val="00DB4CA6"/>
    <w:rsid w:val="00DB5202"/>
    <w:rsid w:val="00DB52CA"/>
    <w:rsid w:val="00DB5769"/>
    <w:rsid w:val="00DB626E"/>
    <w:rsid w:val="00DB7E6C"/>
    <w:rsid w:val="00DC4370"/>
    <w:rsid w:val="00DC4C7A"/>
    <w:rsid w:val="00DC6787"/>
    <w:rsid w:val="00DD1418"/>
    <w:rsid w:val="00DD7FE5"/>
    <w:rsid w:val="00DE2502"/>
    <w:rsid w:val="00E1075F"/>
    <w:rsid w:val="00E125AE"/>
    <w:rsid w:val="00E1307C"/>
    <w:rsid w:val="00E2248A"/>
    <w:rsid w:val="00E2668B"/>
    <w:rsid w:val="00E32A11"/>
    <w:rsid w:val="00E32E48"/>
    <w:rsid w:val="00E35140"/>
    <w:rsid w:val="00E409BB"/>
    <w:rsid w:val="00E41B3A"/>
    <w:rsid w:val="00E4309F"/>
    <w:rsid w:val="00E43EA1"/>
    <w:rsid w:val="00E458ED"/>
    <w:rsid w:val="00E50520"/>
    <w:rsid w:val="00E5313E"/>
    <w:rsid w:val="00E54B23"/>
    <w:rsid w:val="00E57B3F"/>
    <w:rsid w:val="00E65DE8"/>
    <w:rsid w:val="00E73D3A"/>
    <w:rsid w:val="00E80505"/>
    <w:rsid w:val="00E8203C"/>
    <w:rsid w:val="00E820C0"/>
    <w:rsid w:val="00E844AD"/>
    <w:rsid w:val="00E84570"/>
    <w:rsid w:val="00E852EA"/>
    <w:rsid w:val="00E8678C"/>
    <w:rsid w:val="00E90F72"/>
    <w:rsid w:val="00E925F5"/>
    <w:rsid w:val="00E93048"/>
    <w:rsid w:val="00E94D2D"/>
    <w:rsid w:val="00E95C26"/>
    <w:rsid w:val="00E96AA5"/>
    <w:rsid w:val="00EA056B"/>
    <w:rsid w:val="00EB405A"/>
    <w:rsid w:val="00EB6600"/>
    <w:rsid w:val="00EC093E"/>
    <w:rsid w:val="00ED2552"/>
    <w:rsid w:val="00ED6BEC"/>
    <w:rsid w:val="00ED6C84"/>
    <w:rsid w:val="00EE2CB0"/>
    <w:rsid w:val="00EE45A4"/>
    <w:rsid w:val="00EE483A"/>
    <w:rsid w:val="00EF4055"/>
    <w:rsid w:val="00EF5B66"/>
    <w:rsid w:val="00EF69AC"/>
    <w:rsid w:val="00F00397"/>
    <w:rsid w:val="00F00CE4"/>
    <w:rsid w:val="00F017EF"/>
    <w:rsid w:val="00F03AFD"/>
    <w:rsid w:val="00F05223"/>
    <w:rsid w:val="00F05722"/>
    <w:rsid w:val="00F063B8"/>
    <w:rsid w:val="00F14CD7"/>
    <w:rsid w:val="00F224E1"/>
    <w:rsid w:val="00F23437"/>
    <w:rsid w:val="00F42299"/>
    <w:rsid w:val="00F435DD"/>
    <w:rsid w:val="00F44D6F"/>
    <w:rsid w:val="00F45EFE"/>
    <w:rsid w:val="00F46690"/>
    <w:rsid w:val="00F479E4"/>
    <w:rsid w:val="00F52FD9"/>
    <w:rsid w:val="00F55451"/>
    <w:rsid w:val="00F57FCC"/>
    <w:rsid w:val="00F64504"/>
    <w:rsid w:val="00F64C7B"/>
    <w:rsid w:val="00F66320"/>
    <w:rsid w:val="00F77DC7"/>
    <w:rsid w:val="00F82967"/>
    <w:rsid w:val="00F869FF"/>
    <w:rsid w:val="00F93FF4"/>
    <w:rsid w:val="00FA48E2"/>
    <w:rsid w:val="00FA54CF"/>
    <w:rsid w:val="00FA795B"/>
    <w:rsid w:val="00FB21E3"/>
    <w:rsid w:val="00FB5518"/>
    <w:rsid w:val="00FB59CA"/>
    <w:rsid w:val="00FB6722"/>
    <w:rsid w:val="00FC2C49"/>
    <w:rsid w:val="00FD0B77"/>
    <w:rsid w:val="00FD6364"/>
    <w:rsid w:val="00FD6BA0"/>
    <w:rsid w:val="00FF1504"/>
    <w:rsid w:val="00FF181B"/>
    <w:rsid w:val="00FF3CB7"/>
    <w:rsid w:val="00FF3D58"/>
    <w:rsid w:val="00FF6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13236"/>
  <w15:docId w15:val="{A7695F3E-C8BA-4604-8B30-FF8018D6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9D9"/>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049D9"/>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71871"/>
    <w:pPr>
      <w:keepNext/>
      <w:keepLines/>
      <w:spacing w:before="200"/>
      <w:ind w:left="-154" w:firstLine="154"/>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5049D9"/>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5049D9"/>
    <w:pPr>
      <w:keepNext/>
      <w:keepLines/>
      <w:spacing w:before="40"/>
      <w:outlineLvl w:val="3"/>
    </w:pPr>
    <w:rPr>
      <w:rFonts w:eastAsiaTheme="majorEastAsia"/>
      <w:i/>
      <w:iCs/>
    </w:rPr>
  </w:style>
  <w:style w:type="paragraph" w:styleId="Heading6">
    <w:name w:val="heading 6"/>
    <w:basedOn w:val="Normal"/>
    <w:next w:val="Normal"/>
    <w:link w:val="Heading6Char"/>
    <w:uiPriority w:val="9"/>
    <w:semiHidden/>
    <w:unhideWhenUsed/>
    <w:qFormat/>
    <w:rsid w:val="005049D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49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4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4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397"/>
    <w:pPr>
      <w:tabs>
        <w:tab w:val="center" w:pos="4320"/>
        <w:tab w:val="right" w:pos="8640"/>
      </w:tabs>
    </w:pPr>
  </w:style>
  <w:style w:type="paragraph" w:styleId="Footer">
    <w:name w:val="footer"/>
    <w:basedOn w:val="Normal"/>
    <w:rsid w:val="00F00397"/>
    <w:pPr>
      <w:tabs>
        <w:tab w:val="center" w:pos="4320"/>
        <w:tab w:val="right" w:pos="8640"/>
      </w:tabs>
    </w:pPr>
  </w:style>
  <w:style w:type="character" w:styleId="Hyperlink">
    <w:name w:val="Hyperlink"/>
    <w:basedOn w:val="DefaultParagraphFont"/>
    <w:rsid w:val="00F00397"/>
    <w:rPr>
      <w:color w:val="0000FF"/>
      <w:u w:val="single"/>
    </w:rPr>
  </w:style>
  <w:style w:type="paragraph" w:styleId="ListBullet">
    <w:name w:val="List Bullet"/>
    <w:basedOn w:val="Normal"/>
    <w:autoRedefine/>
    <w:rsid w:val="00F00397"/>
    <w:pPr>
      <w:numPr>
        <w:numId w:val="2"/>
      </w:numPr>
      <w:tabs>
        <w:tab w:val="clear" w:pos="360"/>
        <w:tab w:val="left" w:pos="170"/>
      </w:tabs>
    </w:pPr>
  </w:style>
  <w:style w:type="paragraph" w:customStyle="1" w:styleId="Subheading">
    <w:name w:val="Subheading"/>
    <w:basedOn w:val="ListParagraph"/>
    <w:qFormat/>
    <w:rsid w:val="005049D9"/>
    <w:pPr>
      <w:ind w:left="0"/>
    </w:pPr>
    <w:rPr>
      <w:b/>
      <w:sz w:val="32"/>
    </w:rPr>
  </w:style>
  <w:style w:type="paragraph" w:customStyle="1" w:styleId="Filename">
    <w:name w:val="Filename"/>
    <w:basedOn w:val="Header"/>
    <w:next w:val="Header"/>
    <w:rsid w:val="00F00397"/>
    <w:pPr>
      <w:ind w:right="3686"/>
    </w:pPr>
    <w:rPr>
      <w:sz w:val="16"/>
    </w:rPr>
  </w:style>
  <w:style w:type="paragraph" w:customStyle="1" w:styleId="Subject">
    <w:name w:val="Subject"/>
    <w:basedOn w:val="Subheading"/>
    <w:rsid w:val="00F00397"/>
    <w:pPr>
      <w:spacing w:line="320" w:lineRule="atLeast"/>
    </w:pPr>
    <w:rPr>
      <w:sz w:val="24"/>
    </w:rPr>
  </w:style>
  <w:style w:type="paragraph" w:customStyle="1" w:styleId="Filenameandpath">
    <w:name w:val="Filename and path"/>
    <w:basedOn w:val="Normal"/>
    <w:rsid w:val="00F00397"/>
    <w:rPr>
      <w:sz w:val="16"/>
    </w:rPr>
  </w:style>
  <w:style w:type="paragraph" w:styleId="BalloonText">
    <w:name w:val="Balloon Text"/>
    <w:basedOn w:val="Normal"/>
    <w:link w:val="BalloonTextChar"/>
    <w:rsid w:val="006435C6"/>
    <w:rPr>
      <w:rFonts w:ascii="Tahoma" w:hAnsi="Tahoma" w:cs="Tahoma"/>
      <w:sz w:val="16"/>
      <w:szCs w:val="16"/>
    </w:rPr>
  </w:style>
  <w:style w:type="character" w:customStyle="1" w:styleId="BalloonTextChar">
    <w:name w:val="Balloon Text Char"/>
    <w:basedOn w:val="DefaultParagraphFont"/>
    <w:link w:val="BalloonText"/>
    <w:rsid w:val="006435C6"/>
    <w:rPr>
      <w:rFonts w:ascii="Tahoma" w:hAnsi="Tahoma" w:cs="Tahoma"/>
      <w:sz w:val="16"/>
      <w:szCs w:val="16"/>
      <w:lang w:eastAsia="en-US"/>
    </w:rPr>
  </w:style>
  <w:style w:type="character" w:customStyle="1" w:styleId="Heading1Char">
    <w:name w:val="Heading 1 Char"/>
    <w:basedOn w:val="DefaultParagraphFont"/>
    <w:link w:val="Heading1"/>
    <w:uiPriority w:val="9"/>
    <w:rsid w:val="005049D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5049D9"/>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semiHidden/>
    <w:rsid w:val="005049D9"/>
    <w:rPr>
      <w:rFonts w:ascii="Arial" w:eastAsiaTheme="majorEastAsia" w:hAnsi="Arial" w:cstheme="majorBidi"/>
      <w:b/>
      <w:bCs/>
      <w:i/>
      <w:sz w:val="24"/>
      <w:szCs w:val="24"/>
    </w:rPr>
  </w:style>
  <w:style w:type="character" w:customStyle="1" w:styleId="Heading4Char">
    <w:name w:val="Heading 4 Char"/>
    <w:basedOn w:val="DefaultParagraphFont"/>
    <w:link w:val="Heading4"/>
    <w:uiPriority w:val="9"/>
    <w:semiHidden/>
    <w:rsid w:val="005049D9"/>
    <w:rPr>
      <w:rFonts w:ascii="Arial" w:eastAsiaTheme="majorEastAsia" w:hAnsi="Arial" w:cs="Arial"/>
      <w:i/>
      <w:iCs/>
      <w:sz w:val="24"/>
      <w:szCs w:val="24"/>
    </w:rPr>
  </w:style>
  <w:style w:type="character" w:customStyle="1" w:styleId="Heading6Char">
    <w:name w:val="Heading 6 Char"/>
    <w:basedOn w:val="DefaultParagraphFont"/>
    <w:link w:val="Heading6"/>
    <w:uiPriority w:val="9"/>
    <w:semiHidden/>
    <w:rsid w:val="005049D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49D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49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9D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5049D9"/>
    <w:rPr>
      <w:i/>
      <w:iCs/>
      <w:color w:val="1F497D" w:themeColor="text2"/>
      <w:sz w:val="18"/>
      <w:szCs w:val="18"/>
    </w:rPr>
  </w:style>
  <w:style w:type="paragraph" w:styleId="Title">
    <w:name w:val="Title"/>
    <w:basedOn w:val="Normal"/>
    <w:next w:val="Normal"/>
    <w:link w:val="TitleChar"/>
    <w:autoRedefine/>
    <w:uiPriority w:val="10"/>
    <w:qFormat/>
    <w:rsid w:val="005049D9"/>
    <w:pPr>
      <w:pBdr>
        <w:bottom w:val="single" w:sz="8" w:space="4" w:color="4E1965"/>
      </w:pBdr>
      <w:spacing w:after="300"/>
      <w:contextualSpacing/>
    </w:pPr>
    <w:rPr>
      <w:rFonts w:eastAsiaTheme="majorEastAsia" w:cstheme="majorBidi"/>
      <w:b/>
      <w:color w:val="4E1965"/>
      <w:spacing w:val="5"/>
      <w:kern w:val="28"/>
      <w:sz w:val="40"/>
      <w:szCs w:val="40"/>
    </w:rPr>
  </w:style>
  <w:style w:type="character" w:customStyle="1" w:styleId="TitleChar">
    <w:name w:val="Title Char"/>
    <w:basedOn w:val="DefaultParagraphFont"/>
    <w:link w:val="Title"/>
    <w:uiPriority w:val="10"/>
    <w:rsid w:val="005049D9"/>
    <w:rPr>
      <w:rFonts w:ascii="Arial" w:eastAsiaTheme="majorEastAsia" w:hAnsi="Arial" w:cstheme="majorBidi"/>
      <w:b/>
      <w:color w:val="4E1965"/>
      <w:spacing w:val="5"/>
      <w:kern w:val="28"/>
      <w:sz w:val="40"/>
      <w:szCs w:val="40"/>
    </w:rPr>
  </w:style>
  <w:style w:type="paragraph" w:styleId="NoSpacing">
    <w:name w:val="No Spacing"/>
    <w:uiPriority w:val="1"/>
    <w:qFormat/>
    <w:rsid w:val="005049D9"/>
    <w:pPr>
      <w:spacing w:after="0" w:line="240" w:lineRule="auto"/>
    </w:pPr>
    <w:rPr>
      <w:rFonts w:ascii="Arial" w:hAnsi="Arial" w:cs="Arial"/>
      <w:sz w:val="24"/>
      <w:szCs w:val="24"/>
    </w:rPr>
  </w:style>
  <w:style w:type="paragraph" w:styleId="ListParagraph">
    <w:name w:val="List Paragraph"/>
    <w:basedOn w:val="Normal"/>
    <w:uiPriority w:val="34"/>
    <w:qFormat/>
    <w:rsid w:val="005049D9"/>
    <w:pPr>
      <w:ind w:left="720"/>
      <w:contextualSpacing/>
    </w:pPr>
  </w:style>
  <w:style w:type="paragraph" w:styleId="Quote">
    <w:name w:val="Quote"/>
    <w:basedOn w:val="Normal"/>
    <w:next w:val="Normal"/>
    <w:link w:val="QuoteChar"/>
    <w:uiPriority w:val="29"/>
    <w:qFormat/>
    <w:rsid w:val="005049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49D9"/>
    <w:rPr>
      <w:rFonts w:ascii="Arial" w:hAnsi="Arial" w:cs="Arial"/>
      <w:i/>
      <w:iCs/>
      <w:color w:val="404040" w:themeColor="text1" w:themeTint="BF"/>
      <w:sz w:val="24"/>
      <w:szCs w:val="24"/>
    </w:rPr>
  </w:style>
  <w:style w:type="paragraph" w:styleId="IntenseQuote">
    <w:name w:val="Intense Quote"/>
    <w:basedOn w:val="Normal"/>
    <w:next w:val="Normal"/>
    <w:link w:val="IntenseQuoteChar"/>
    <w:uiPriority w:val="30"/>
    <w:qFormat/>
    <w:rsid w:val="005049D9"/>
    <w:pPr>
      <w:pBdr>
        <w:top w:val="single" w:sz="4" w:space="10" w:color="4E1965"/>
        <w:bottom w:val="single" w:sz="4" w:space="10" w:color="4E1965"/>
      </w:pBdr>
      <w:spacing w:before="360" w:after="360"/>
      <w:ind w:left="864" w:right="864"/>
      <w:jc w:val="center"/>
    </w:pPr>
    <w:rPr>
      <w:i/>
      <w:iCs/>
      <w:color w:val="4E1965"/>
    </w:rPr>
  </w:style>
  <w:style w:type="character" w:customStyle="1" w:styleId="IntenseQuoteChar">
    <w:name w:val="Intense Quote Char"/>
    <w:basedOn w:val="DefaultParagraphFont"/>
    <w:link w:val="IntenseQuote"/>
    <w:uiPriority w:val="30"/>
    <w:rsid w:val="005049D9"/>
    <w:rPr>
      <w:rFonts w:ascii="Arial" w:hAnsi="Arial" w:cs="Arial"/>
      <w:i/>
      <w:iCs/>
      <w:color w:val="4E1965"/>
      <w:sz w:val="24"/>
      <w:szCs w:val="24"/>
    </w:rPr>
  </w:style>
  <w:style w:type="character" w:styleId="IntenseEmphasis">
    <w:name w:val="Intense Emphasis"/>
    <w:basedOn w:val="DefaultParagraphFont"/>
    <w:uiPriority w:val="21"/>
    <w:qFormat/>
    <w:rsid w:val="005049D9"/>
    <w:rPr>
      <w:i/>
      <w:iCs/>
      <w:color w:val="4E1965"/>
    </w:rPr>
  </w:style>
  <w:style w:type="paragraph" w:styleId="TOCHeading">
    <w:name w:val="TOC Heading"/>
    <w:basedOn w:val="Heading1"/>
    <w:next w:val="Normal"/>
    <w:uiPriority w:val="39"/>
    <w:semiHidden/>
    <w:unhideWhenUsed/>
    <w:qFormat/>
    <w:rsid w:val="005049D9"/>
    <w:pPr>
      <w:outlineLvl w:val="9"/>
    </w:pPr>
    <w:rPr>
      <w:rFonts w:asciiTheme="majorHAnsi" w:hAnsiTheme="majorHAnsi"/>
      <w:color w:val="365F91" w:themeColor="accent1" w:themeShade="BF"/>
      <w:lang w:eastAsia="ja-JP"/>
    </w:rPr>
  </w:style>
  <w:style w:type="paragraph" w:styleId="BodyText">
    <w:name w:val="Body Text"/>
    <w:basedOn w:val="Normal"/>
    <w:link w:val="BodyTextChar"/>
    <w:uiPriority w:val="1"/>
    <w:qFormat/>
    <w:rsid w:val="00F05223"/>
    <w:pPr>
      <w:widowControl w:val="0"/>
      <w:autoSpaceDE w:val="0"/>
      <w:autoSpaceDN w:val="0"/>
    </w:pPr>
    <w:rPr>
      <w:rFonts w:eastAsia="Arial"/>
      <w:lang w:val="en-US" w:eastAsia="en-US"/>
    </w:rPr>
  </w:style>
  <w:style w:type="character" w:customStyle="1" w:styleId="BodyTextChar">
    <w:name w:val="Body Text Char"/>
    <w:basedOn w:val="DefaultParagraphFont"/>
    <w:link w:val="BodyText"/>
    <w:uiPriority w:val="1"/>
    <w:rsid w:val="00F05223"/>
    <w:rPr>
      <w:rFonts w:ascii="Arial" w:eastAsia="Arial" w:hAnsi="Arial" w:cs="Arial"/>
      <w:sz w:val="24"/>
      <w:szCs w:val="24"/>
      <w:lang w:val="en-US" w:eastAsia="en-US"/>
    </w:rPr>
  </w:style>
  <w:style w:type="paragraph" w:styleId="NormalWeb">
    <w:name w:val="Normal (Web)"/>
    <w:basedOn w:val="Normal"/>
    <w:uiPriority w:val="99"/>
    <w:unhideWhenUsed/>
    <w:rsid w:val="00F05223"/>
    <w:pPr>
      <w:spacing w:before="100" w:beforeAutospacing="1" w:after="100" w:afterAutospacing="1" w:line="451" w:lineRule="atLeast"/>
    </w:pPr>
    <w:rPr>
      <w:rFonts w:ascii="Times New Roman" w:eastAsia="Times New Roman" w:hAnsi="Times New Roman" w:cs="Times New Roman"/>
    </w:rPr>
  </w:style>
  <w:style w:type="character" w:styleId="CommentReference">
    <w:name w:val="annotation reference"/>
    <w:basedOn w:val="DefaultParagraphFont"/>
    <w:semiHidden/>
    <w:unhideWhenUsed/>
    <w:rsid w:val="007E5E44"/>
    <w:rPr>
      <w:sz w:val="16"/>
      <w:szCs w:val="16"/>
    </w:rPr>
  </w:style>
  <w:style w:type="paragraph" w:styleId="CommentText">
    <w:name w:val="annotation text"/>
    <w:basedOn w:val="Normal"/>
    <w:link w:val="CommentTextChar"/>
    <w:semiHidden/>
    <w:unhideWhenUsed/>
    <w:rsid w:val="007E5E44"/>
    <w:rPr>
      <w:sz w:val="20"/>
      <w:szCs w:val="20"/>
    </w:rPr>
  </w:style>
  <w:style w:type="character" w:customStyle="1" w:styleId="CommentTextChar">
    <w:name w:val="Comment Text Char"/>
    <w:basedOn w:val="DefaultParagraphFont"/>
    <w:link w:val="CommentText"/>
    <w:semiHidden/>
    <w:rsid w:val="007E5E44"/>
    <w:rPr>
      <w:rFonts w:ascii="Arial" w:hAnsi="Arial" w:cs="Arial"/>
      <w:sz w:val="20"/>
      <w:szCs w:val="20"/>
    </w:rPr>
  </w:style>
  <w:style w:type="paragraph" w:styleId="CommentSubject">
    <w:name w:val="annotation subject"/>
    <w:basedOn w:val="CommentText"/>
    <w:next w:val="CommentText"/>
    <w:link w:val="CommentSubjectChar"/>
    <w:semiHidden/>
    <w:unhideWhenUsed/>
    <w:rsid w:val="007E5E44"/>
    <w:rPr>
      <w:b/>
      <w:bCs/>
    </w:rPr>
  </w:style>
  <w:style w:type="character" w:customStyle="1" w:styleId="CommentSubjectChar">
    <w:name w:val="Comment Subject Char"/>
    <w:basedOn w:val="CommentTextChar"/>
    <w:link w:val="CommentSubject"/>
    <w:semiHidden/>
    <w:rsid w:val="007E5E44"/>
    <w:rPr>
      <w:rFonts w:ascii="Arial" w:hAnsi="Arial" w:cs="Arial"/>
      <w:b/>
      <w:bCs/>
      <w:sz w:val="20"/>
      <w:szCs w:val="20"/>
    </w:rPr>
  </w:style>
  <w:style w:type="character" w:styleId="UnresolvedMention">
    <w:name w:val="Unresolved Mention"/>
    <w:basedOn w:val="DefaultParagraphFont"/>
    <w:uiPriority w:val="99"/>
    <w:unhideWhenUsed/>
    <w:rsid w:val="00FD6BA0"/>
    <w:rPr>
      <w:color w:val="605E5C"/>
      <w:shd w:val="clear" w:color="auto" w:fill="E1DFDD"/>
    </w:rPr>
  </w:style>
  <w:style w:type="character" w:styleId="Mention">
    <w:name w:val="Mention"/>
    <w:basedOn w:val="DefaultParagraphFont"/>
    <w:uiPriority w:val="99"/>
    <w:unhideWhenUsed/>
    <w:rsid w:val="00FD6BA0"/>
    <w:rPr>
      <w:color w:val="2B579A"/>
      <w:shd w:val="clear" w:color="auto" w:fill="E1DFDD"/>
    </w:rPr>
  </w:style>
  <w:style w:type="character" w:styleId="FollowedHyperlink">
    <w:name w:val="FollowedHyperlink"/>
    <w:basedOn w:val="DefaultParagraphFont"/>
    <w:semiHidden/>
    <w:unhideWhenUsed/>
    <w:rsid w:val="00A232B2"/>
    <w:rPr>
      <w:color w:val="800080" w:themeColor="followedHyperlink"/>
      <w:u w:val="single"/>
    </w:rPr>
  </w:style>
  <w:style w:type="paragraph" w:customStyle="1" w:styleId="paragraph">
    <w:name w:val="paragraph"/>
    <w:basedOn w:val="Normal"/>
    <w:rsid w:val="00A232B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232B2"/>
  </w:style>
  <w:style w:type="character" w:customStyle="1" w:styleId="eop">
    <w:name w:val="eop"/>
    <w:basedOn w:val="DefaultParagraphFont"/>
    <w:rsid w:val="00A2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7197">
      <w:bodyDiv w:val="1"/>
      <w:marLeft w:val="0"/>
      <w:marRight w:val="0"/>
      <w:marTop w:val="0"/>
      <w:marBottom w:val="0"/>
      <w:divBdr>
        <w:top w:val="none" w:sz="0" w:space="0" w:color="auto"/>
        <w:left w:val="none" w:sz="0" w:space="0" w:color="auto"/>
        <w:bottom w:val="none" w:sz="0" w:space="0" w:color="auto"/>
        <w:right w:val="none" w:sz="0" w:space="0" w:color="auto"/>
      </w:divBdr>
    </w:div>
    <w:div w:id="316611997">
      <w:bodyDiv w:val="1"/>
      <w:marLeft w:val="0"/>
      <w:marRight w:val="0"/>
      <w:marTop w:val="0"/>
      <w:marBottom w:val="0"/>
      <w:divBdr>
        <w:top w:val="none" w:sz="0" w:space="0" w:color="auto"/>
        <w:left w:val="none" w:sz="0" w:space="0" w:color="auto"/>
        <w:bottom w:val="none" w:sz="0" w:space="0" w:color="auto"/>
        <w:right w:val="none" w:sz="0" w:space="0" w:color="auto"/>
      </w:divBdr>
    </w:div>
    <w:div w:id="1267080654">
      <w:bodyDiv w:val="1"/>
      <w:marLeft w:val="0"/>
      <w:marRight w:val="0"/>
      <w:marTop w:val="0"/>
      <w:marBottom w:val="0"/>
      <w:divBdr>
        <w:top w:val="none" w:sz="0" w:space="0" w:color="auto"/>
        <w:left w:val="none" w:sz="0" w:space="0" w:color="auto"/>
        <w:bottom w:val="none" w:sz="0" w:space="0" w:color="auto"/>
        <w:right w:val="none" w:sz="0" w:space="0" w:color="auto"/>
      </w:divBdr>
      <w:divsChild>
        <w:div w:id="1652177916">
          <w:marLeft w:val="0"/>
          <w:marRight w:val="0"/>
          <w:marTop w:val="0"/>
          <w:marBottom w:val="0"/>
          <w:divBdr>
            <w:top w:val="none" w:sz="0" w:space="0" w:color="auto"/>
            <w:left w:val="none" w:sz="0" w:space="0" w:color="auto"/>
            <w:bottom w:val="none" w:sz="0" w:space="0" w:color="auto"/>
            <w:right w:val="none" w:sz="0" w:space="0" w:color="auto"/>
          </w:divBdr>
        </w:div>
      </w:divsChild>
    </w:div>
    <w:div w:id="1398286205">
      <w:bodyDiv w:val="1"/>
      <w:marLeft w:val="0"/>
      <w:marRight w:val="0"/>
      <w:marTop w:val="0"/>
      <w:marBottom w:val="0"/>
      <w:divBdr>
        <w:top w:val="none" w:sz="0" w:space="0" w:color="auto"/>
        <w:left w:val="none" w:sz="0" w:space="0" w:color="auto"/>
        <w:bottom w:val="none" w:sz="0" w:space="0" w:color="auto"/>
        <w:right w:val="none" w:sz="0" w:space="0" w:color="auto"/>
      </w:divBdr>
    </w:div>
    <w:div w:id="1879392825">
      <w:bodyDiv w:val="1"/>
      <w:marLeft w:val="0"/>
      <w:marRight w:val="0"/>
      <w:marTop w:val="0"/>
      <w:marBottom w:val="0"/>
      <w:divBdr>
        <w:top w:val="none" w:sz="0" w:space="0" w:color="auto"/>
        <w:left w:val="none" w:sz="0" w:space="0" w:color="auto"/>
        <w:bottom w:val="none" w:sz="0" w:space="0" w:color="auto"/>
        <w:right w:val="none" w:sz="0" w:space="0" w:color="auto"/>
      </w:divBdr>
      <w:divsChild>
        <w:div w:id="1353217555">
          <w:marLeft w:val="0"/>
          <w:marRight w:val="0"/>
          <w:marTop w:val="0"/>
          <w:marBottom w:val="0"/>
          <w:divBdr>
            <w:top w:val="none" w:sz="0" w:space="0" w:color="auto"/>
            <w:left w:val="none" w:sz="0" w:space="0" w:color="auto"/>
            <w:bottom w:val="none" w:sz="0" w:space="0" w:color="auto"/>
            <w:right w:val="none" w:sz="0" w:space="0" w:color="auto"/>
          </w:divBdr>
        </w:div>
      </w:divsChild>
    </w:div>
    <w:div w:id="2125927032">
      <w:bodyDiv w:val="1"/>
      <w:marLeft w:val="0"/>
      <w:marRight w:val="0"/>
      <w:marTop w:val="0"/>
      <w:marBottom w:val="0"/>
      <w:divBdr>
        <w:top w:val="none" w:sz="0" w:space="0" w:color="auto"/>
        <w:left w:val="none" w:sz="0" w:space="0" w:color="auto"/>
        <w:bottom w:val="none" w:sz="0" w:space="0" w:color="auto"/>
        <w:right w:val="none" w:sz="0" w:space="0" w:color="auto"/>
      </w:divBdr>
      <w:divsChild>
        <w:div w:id="79621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m\OneDrive%20-%20hta.gov.uk\Desktop\JD%20Regulation%20Manag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162527-c308-4a98-98b8-9e726c57dd8b" xsi:nil="true"/>
    <lcf76f155ced4ddcb4097134ff3c332f xmlns="c497441b-d3fe-4788-8629-aff52d38f5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2dd52c40bef09245ee5df2cd765489d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ca69ce2876962faebcb874a49a844d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0401-CF8E-4545-9888-7D9D328539EB}">
  <ds:schemaRefs>
    <ds:schemaRef ds:uri="http://schemas.microsoft.com/sharepoint/v3/contenttype/forms"/>
  </ds:schemaRefs>
</ds:datastoreItem>
</file>

<file path=customXml/itemProps2.xml><?xml version="1.0" encoding="utf-8"?>
<ds:datastoreItem xmlns:ds="http://schemas.openxmlformats.org/officeDocument/2006/customXml" ds:itemID="{2328D3EA-15C8-449B-82A0-6D2CCFC96127}">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3.xml><?xml version="1.0" encoding="utf-8"?>
<ds:datastoreItem xmlns:ds="http://schemas.openxmlformats.org/officeDocument/2006/customXml" ds:itemID="{74E14077-B753-45F6-8F40-498BD88431D5}"/>
</file>

<file path=customXml/itemProps4.xml><?xml version="1.0" encoding="utf-8"?>
<ds:datastoreItem xmlns:ds="http://schemas.openxmlformats.org/officeDocument/2006/customXml" ds:itemID="{CBE87D1F-9640-4748-84CD-C799819B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Regulation Manager</Template>
  <TotalTime>0</TotalTime>
  <Pages>4</Pages>
  <Words>1051</Words>
  <Characters>6098</Characters>
  <Application>Microsoft Office Word</Application>
  <DocSecurity>0</DocSecurity>
  <Lines>179</Lines>
  <Paragraphs>92</Paragraphs>
  <ScaleCrop>false</ScaleCrop>
  <HeadingPairs>
    <vt:vector size="2" baseType="variant">
      <vt:variant>
        <vt:lpstr>Title</vt:lpstr>
      </vt:variant>
      <vt:variant>
        <vt:i4>1</vt:i4>
      </vt:variant>
    </vt:vector>
  </HeadingPairs>
  <TitlesOfParts>
    <vt:vector size="1" baseType="lpstr">
      <vt:lpstr>Letterhead template</vt:lpstr>
    </vt:vector>
  </TitlesOfParts>
  <Company>HTA</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Dr Rachel Mogg</dc:creator>
  <cp:keywords/>
  <cp:lastModifiedBy>Robert Watson</cp:lastModifiedBy>
  <cp:revision>8</cp:revision>
  <cp:lastPrinted>2006-02-06T12:37:00Z</cp:lastPrinted>
  <dcterms:created xsi:type="dcterms:W3CDTF">2025-11-06T15:13:00Z</dcterms:created>
  <dcterms:modified xsi:type="dcterms:W3CDTF">2025-11-06T15:20:00Z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_dlc_DocIdItemGuid">
    <vt:lpwstr>c6f1b719-7164-4dce-9494-bea5e8efa6af</vt:lpwstr>
  </property>
  <property fmtid="{D5CDD505-2E9C-101B-9397-08002B2CF9AE}" pid="4" name="MediaServiceImageTags">
    <vt:lpwstr/>
  </property>
</Properties>
</file>